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B-04 — Pavage hexagonal sur surface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B1 · Architecture et construction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REF-068, REF-069, REF-049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Établir combien d'éléments d'une trame non orthogonale tiennent dans une emprise donnée.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B-03, A-20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Projeter une trame plane sur une surface libre en maîtrisant la structure de données.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bardage hexagonal se commande à l'unité. Le pas d'une trame hexagonale n'est pas son côté.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Applique un pavage hexagonal de 400 mm de côté sur la surface libre fournie, puis extrude chaque hexagone de 60 mm suivant la normale locale de la surface.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2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0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2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B-04_sujet.gh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surface libre internalisée.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130 hexagones.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le pavage, 2 points pour l'orientation selon les normales.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B-04 — Pavage hexagonal sur surface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