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B-10 — Motif gravé développé sur un anneau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REF-115, REF-069,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Répartir un motif répétitif sur un développé, en distinguant la circonférence du diamètre.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B-04, 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Concevoir un motif à plat puis l'enrouler sur une surface de révolution.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motif doit se refermer sur lui-même. Un raccord faux se voit immédiatement, et se voit toujours au même endroit.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Dessine à plat un motif géométrique répétitif de 12 modules, puis applique-le sur la face extérieure d'un anneau de taille 54 et de 4 mm de large. Le motif doit boucler sans rupture.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anneau de révolution internalisé et un module de motif plan.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4,50 mm — la largeur d'un module,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motif, 2 points pour la continuité du raccord.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B-10 — Motif gravé développé sur un anneau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