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B-16 — Lampe à lamelles de section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une surface développée dont une dimension varie continûment.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varier une section le long d'un parcours par interpolation contrôlée.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tôle de l'abat-jour se commande à plat, au mètre carré. La lamelle est large au milieu et étroite aux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 abat-jour composé de 24 lamelles réparties autour d'un axe. Chaque lamelle suit un profil dont la largeur varie de 15 mm aux extrémités à 45 mm au milieu, selon une courbe douce.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génératrice internalisée et un slider de nombre de lamelles.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0,3024 m² de surface développée,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variation, 2 points pour la répartition.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B-16 — Lampe à lamelles de section variable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