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C-01 — Enveloppe à brise-soleil orientés selon l'ensoleillement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C1 · Architecture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REF-027, REF-068, REF-095, REF-079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Dimensionner un dispositif d'ombrage à partir de la course solaire, en distinguant ce qui se divise de ce qui se multiplie.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B-03, B-04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Construire une enveloppe dont chaque élément réagit à une donnée d'analyse, et justifier le résultat par une mesure.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brise-soleil doit occulter à l'heure la plus chaude sans assombrir le reste de l'année. Sa profondeur est ce qui coûte et ce qui se voit.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façade sud du bâtiment reçoit 180 lames brise-soleil. Oriente chaque lame perpendiculairement à la direction du soleil au 21 juin à 15 h, puis optimise l'angle moyen pour limiter la surface exposée à 40 % de la surface vitrée tout en préservant au moins 25 % de vue directe.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26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26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façade, un vecteur solaire et le contour vitré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249,95 mm — la profondeur minimale de lame,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géométrie, 3 points indicateurs, 3 points optimisation.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C-01 — Enveloppe à brise-soleil orientés selon l'ensoleillement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