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C-04 — Métré et chiffrage complet d'un module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C1 · Architecture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REF-082, REF-083, REF-084, REF-086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Structurer un devis par lot avec sous-totaux, et le rendre exact au centime.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B-12, B-13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Produire un livrable économique complet à partir d'un modèle, avec traçabilité des hypothèses.</w:t>
      </w:r>
    </w:p>
    <w:p>
      <w:pPr>
        <w:spacing w:before="200" w:after="60"/>
      </w:pPr>
      <w:r>
        <w:rPr>
          <w:rFonts w:ascii="Calibri" w:hAnsi="Calibri"/>
          <w:b/>
          <w:color w:val="444A52"/>
          <w:sz w:val="22"/>
        </w:rPr>
        <w:t>Contexte</w:t>
      </w:r>
    </w:p>
    <w:p>
      <w:pPr>
        <w:spacing w:before="0" w:after="80"/>
      </w:pPr>
      <w:r>
        <w:rPr>
          <w:rFonts w:ascii="Calibri" w:hAnsi="Calibri"/>
          <w:b w:val="0"/>
          <w:i w:val="0"/>
          <w:sz w:val="21"/>
        </w:rPr>
        <w:t>Le devis part au maître d'ouvrage. Un sous-total faux ne se voit pas ; un total faux se voit toujours, et trop tard.</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À partir du module constructif fourni, produis un devis quantitatif estimatif par lot (gros œuvre, menuiserie, second œuvre) avec quantités, unités, prix unitaires et totaux, ainsi qu'un récapitulatif par lot et un total général. Le calcul doit rester juste si l'on modifie les dimensions du module.</w:t>
            </w:r>
          </w:p>
        </w:tc>
      </w:tr>
    </w:tbl>
    <w:p>
      <w:pPr>
        <w:spacing w:after="0"/>
      </w:pPr>
    </w:p>
    <w:p>
      <w:pPr>
        <w:spacing w:before="80" w:after="40"/>
        <w:jc w:val="center"/>
      </w:pPr>
      <w:r>
        <w:drawing>
          <wp:inline xmlns:a="http://schemas.openxmlformats.org/drawingml/2006/main" xmlns:pic="http://schemas.openxmlformats.org/drawingml/2006/picture">
            <wp:extent cx="5903999" cy="3573708"/>
            <wp:docPr id="1" name="Picture 1"/>
            <wp:cNvGraphicFramePr>
              <a:graphicFrameLocks noChangeAspect="1"/>
            </wp:cNvGraphicFramePr>
            <a:graphic>
              <a:graphicData uri="http://schemas.openxmlformats.org/drawingml/2006/picture">
                <pic:pic>
                  <pic:nvPicPr>
                    <pic:cNvPr id="0" name="C-04_canvas_sujet.png"/>
                    <pic:cNvPicPr/>
                  </pic:nvPicPr>
                  <pic:blipFill>
                    <a:blip r:embed="rId10"/>
                    <a:stretch>
                      <a:fillRect/>
                    </a:stretch>
                  </pic:blipFill>
                  <pic:spPr>
                    <a:xfrm>
                      <a:off x="0" y="0"/>
                      <a:ext cx="5903999" cy="3573708"/>
                    </a:xfrm>
                    <a:prstGeom prst="rect"/>
                  </pic:spPr>
                </pic:pic>
              </a:graphicData>
            </a:graphic>
          </wp:inline>
        </w:drawing>
      </w:r>
    </w:p>
    <w:p>
      <w:pPr>
        <w:spacing w:after="160"/>
        <w:jc w:val="center"/>
      </w:pPr>
      <w:r>
        <w:rPr>
          <w:rFonts w:ascii="Calibri" w:hAnsi="Calibri"/>
          <w:i/>
          <w:color w:val="444A52"/>
          <w:sz w:val="18"/>
        </w:rPr>
        <w:t>Le canvas à l'ouverture de C-04_sujet.gh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module constructif complet et une table de prix unitaires internalisée.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55 099,00 € de total général.</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quantités, 3 points structure du devis, 3 points recalculabilité.</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C-04_complet.gh,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425059"/>
            <wp:docPr id="2" name="Picture 2"/>
            <wp:cNvGraphicFramePr>
              <a:graphicFrameLocks noChangeAspect="1"/>
            </wp:cNvGraphicFramePr>
            <a:graphic>
              <a:graphicData uri="http://schemas.openxmlformats.org/drawingml/2006/picture">
                <pic:pic>
                  <pic:nvPicPr>
                    <pic:cNvPr id="0" name="C-04_canvas_corrige.png"/>
                    <pic:cNvPicPr/>
                  </pic:nvPicPr>
                  <pic:blipFill>
                    <a:blip r:embed="rId11"/>
                    <a:stretch>
                      <a:fillRect/>
                    </a:stretch>
                  </pic:blipFill>
                  <pic:spPr>
                    <a:xfrm>
                      <a:off x="0" y="0"/>
                      <a:ext cx="5903999" cy="442505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Classer les solides par lot à partir de leur calque d'origine via Geometry Pipeline.</w:t>
      </w:r>
    </w:p>
    <w:p>
      <w:pPr>
        <w:spacing w:after="100"/>
        <w:ind w:left="340"/>
      </w:pPr>
      <w:r>
        <w:rPr>
          <w:rFonts w:ascii="Calibri" w:hAnsi="Calibri"/>
          <w:b/>
          <w:color w:val="2E5C8A"/>
          <w:sz w:val="21"/>
        </w:rPr>
        <w:t xml:space="preserve">Étape 2.  </w:t>
      </w:r>
      <w:r>
        <w:rPr>
          <w:rFonts w:ascii="Calibri" w:hAnsi="Calibri"/>
          <w:sz w:val="21"/>
        </w:rPr>
        <w:t>Mesurer les quantités pertinentes par lot : volumes pour le gros œuvre, surfaces pour le second œuvre, linéaires pour les menuiseries.</w:t>
      </w:r>
    </w:p>
    <w:p>
      <w:pPr>
        <w:spacing w:after="100"/>
        <w:ind w:left="340"/>
      </w:pPr>
      <w:r>
        <w:rPr>
          <w:rFonts w:ascii="Calibri" w:hAnsi="Calibri"/>
          <w:b/>
          <w:color w:val="2E5C8A"/>
          <w:sz w:val="21"/>
        </w:rPr>
        <w:t xml:space="preserve">Étape 3.  </w:t>
      </w:r>
      <w:r>
        <w:rPr>
          <w:rFonts w:ascii="Calibri" w:hAnsi="Calibri"/>
          <w:sz w:val="21"/>
        </w:rPr>
        <w:t>Convertir chaque quantité dans son unité de devis (m³, m², ml).</w:t>
      </w:r>
    </w:p>
    <w:p>
      <w:pPr>
        <w:spacing w:after="100"/>
        <w:ind w:left="340"/>
      </w:pPr>
      <w:r>
        <w:rPr>
          <w:rFonts w:ascii="Calibri" w:hAnsi="Calibri"/>
          <w:b/>
          <w:color w:val="2E5C8A"/>
          <w:sz w:val="21"/>
        </w:rPr>
        <w:t xml:space="preserve">Étape 4.  </w:t>
      </w:r>
      <w:r>
        <w:rPr>
          <w:rFonts w:ascii="Calibri" w:hAnsi="Calibri"/>
          <w:sz w:val="21"/>
        </w:rPr>
        <w:t>Associer chaque poste à son prix unitaire par Member Index dans la table des prix.</w:t>
      </w:r>
    </w:p>
    <w:p>
      <w:pPr>
        <w:spacing w:after="100"/>
        <w:ind w:left="340"/>
      </w:pPr>
      <w:r>
        <w:rPr>
          <w:rFonts w:ascii="Calibri" w:hAnsi="Calibri"/>
          <w:b/>
          <w:color w:val="2E5C8A"/>
          <w:sz w:val="21"/>
        </w:rPr>
        <w:t xml:space="preserve">Étape 5.  </w:t>
      </w:r>
      <w:r>
        <w:rPr>
          <w:rFonts w:ascii="Calibri" w:hAnsi="Calibri"/>
          <w:sz w:val="21"/>
        </w:rPr>
        <w:t>Calculer les totaux par poste puis les sous-totaux par lot avec Mass Addition sur arbre.</w:t>
      </w:r>
    </w:p>
    <w:p>
      <w:pPr>
        <w:spacing w:after="100"/>
        <w:ind w:left="340"/>
      </w:pPr>
      <w:r>
        <w:rPr>
          <w:rFonts w:ascii="Calibri" w:hAnsi="Calibri"/>
          <w:b/>
          <w:color w:val="2E5C8A"/>
          <w:sz w:val="21"/>
        </w:rPr>
        <w:t xml:space="preserve">Étape 6.  </w:t>
      </w:r>
      <w:r>
        <w:rPr>
          <w:rFonts w:ascii="Calibri" w:hAnsi="Calibri"/>
          <w:sz w:val="21"/>
        </w:rPr>
        <w:t>Calculer le total général.</w:t>
      </w:r>
    </w:p>
    <w:p>
      <w:pPr>
        <w:spacing w:after="100"/>
        <w:ind w:left="340"/>
      </w:pPr>
      <w:r>
        <w:rPr>
          <w:rFonts w:ascii="Calibri" w:hAnsi="Calibri"/>
          <w:b/>
          <w:color w:val="2E5C8A"/>
          <w:sz w:val="21"/>
        </w:rPr>
        <w:t xml:space="preserve">Étape 7.  </w:t>
      </w:r>
      <w:r>
        <w:rPr>
          <w:rFonts w:ascii="Calibri" w:hAnsi="Calibri"/>
          <w:sz w:val="21"/>
        </w:rPr>
        <w:t>Composer les lignes de texte avec Concatenate et Format à deux décimales.</w:t>
      </w:r>
    </w:p>
    <w:p>
      <w:pPr>
        <w:spacing w:after="100"/>
        <w:ind w:left="340"/>
      </w:pPr>
      <w:r>
        <w:rPr>
          <w:rFonts w:ascii="Calibri" w:hAnsi="Calibri"/>
          <w:b/>
          <w:color w:val="2E5C8A"/>
          <w:sz w:val="21"/>
        </w:rPr>
        <w:t xml:space="preserve">Étape 8.  </w:t>
      </w:r>
      <w:r>
        <w:rPr>
          <w:rFonts w:ascii="Calibri" w:hAnsi="Calibri"/>
          <w:sz w:val="21"/>
        </w:rPr>
        <w:t>Écrire le fichier CSV et vérifier la recalculabilité en modifiant une dimension du module.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Additionner les quantités au lieu des montants, ou sommer les sous-totaux d'un lot en oubliant une ligne. Un devis à trois lots et neuf lignes se vérifie de deux façons — par les lots et par les lignes — et les deux doivent tomber sur le même chiffre.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Sous-totaux calculés sur l'arbre aplati : les lots se mélangent.</w:t>
      </w:r>
    </w:p>
    <w:p>
      <w:pPr>
        <w:spacing w:after="60"/>
        <w:ind w:left="340"/>
      </w:pPr>
      <w:r>
        <w:rPr>
          <w:rFonts w:ascii="Calibri" w:hAnsi="Calibri"/>
          <w:sz w:val="21"/>
        </w:rPr>
        <w:t>•  Prix unitaires codés en dur dans le graphe au lieu d'une table.</w:t>
      </w:r>
    </w:p>
    <w:p>
      <w:pPr>
        <w:spacing w:after="60"/>
        <w:ind w:left="340"/>
      </w:pPr>
      <w:r>
        <w:rPr>
          <w:rFonts w:ascii="Calibri" w:hAnsi="Calibri"/>
          <w:sz w:val="21"/>
        </w:rPr>
        <w:t>•  Doubles comptes entre postes (une paroi comptée en volume et en surface).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Deconstruct Brep, Area, Volume, Sort List, Create Set, Member Index, Concatenate, Write File</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Neuf lignes en trois lots, avec des unités différentes — m³, tonne, unité, m² — pour que la somme des quantités n'ait aucun sens et que l'erreur se voie. Les trois sous-totaux sont de tailles très différentes : 9 353, 23 790, 21 956.</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total est un montant de TRAVAUX, hors taxes et hors aléas. Un devis remis au client y ajoute la TVA, les frais généraux et une provision d'imprévus — de 5 à 10 % selon la maturité du projet. Le chiffre juste n'est pas encore le prix.</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Ajouter un coefficient de perte par lot.</w:t>
      </w:r>
    </w:p>
    <w:p>
      <w:pPr>
        <w:spacing w:after="60"/>
        <w:ind w:left="340"/>
      </w:pPr>
      <w:r>
        <w:rPr>
          <w:rFonts w:ascii="Calibri" w:hAnsi="Calibri"/>
          <w:sz w:val="21"/>
        </w:rPr>
        <w:t>•  Produire une variante haute et une variante basse.</w:t>
      </w:r>
    </w:p>
    <w:p>
      <w:pPr>
        <w:spacing w:after="60"/>
        <w:ind w:left="340"/>
      </w:pPr>
      <w:r>
        <w:rPr>
          <w:rFonts w:ascii="Calibri" w:hAnsi="Calibri"/>
          <w:sz w:val="21"/>
        </w:rPr>
        <w:t>•  Exporter vers Excel avec mise en forme.</w:t>
      </w:r>
    </w:p>
    <w:p>
      <w:pPr>
        <w:spacing w:before="200" w:after="60"/>
      </w:pPr>
      <w:r>
        <w:rPr>
          <w:rFonts w:ascii="Calibri" w:hAnsi="Calibri"/>
          <w:b/>
          <w:color w:val="444A52"/>
          <w:sz w:val="22"/>
        </w:rPr>
        <w:t>Fichiers de cet exercice</w:t>
      </w:r>
    </w:p>
    <w:p>
      <w:pPr>
        <w:spacing w:after="60"/>
        <w:ind w:left="340"/>
      </w:pPr>
      <w:r>
        <w:rPr>
          <w:rFonts w:ascii="Calibri" w:hAnsi="Calibri"/>
          <w:sz w:val="21"/>
        </w:rPr>
        <w:t>•  C-04_sujet.gh — énoncé et données de départ, sans le corrigé</w:t>
      </w:r>
    </w:p>
    <w:p>
      <w:pPr>
        <w:spacing w:after="60"/>
        <w:ind w:left="340"/>
      </w:pPr>
      <w:r>
        <w:rPr>
          <w:rFonts w:ascii="Calibri" w:hAnsi="Calibri"/>
          <w:sz w:val="21"/>
        </w:rPr>
        <w:t>•  C-04_complet.gh — énoncé et corrigé, ce dernier commandé par l'interrupteur</w:t>
      </w:r>
    </w:p>
    <w:p>
      <w:pPr>
        <w:spacing w:after="60"/>
        <w:ind w:left="340"/>
      </w:pPr>
      <w:r>
        <w:rPr>
          <w:rFonts w:ascii="Calibri" w:hAnsi="Calibri"/>
          <w:sz w:val="21"/>
        </w:rPr>
        <w:t>•  C-04.json — descripteur pour le plugin Magpie</w:t>
      </w:r>
    </w:p>
    <w:p>
      <w:pPr>
        <w:spacing w:after="60"/>
        <w:ind w:left="340"/>
      </w:pPr>
      <w:r>
        <w:rPr>
          <w:rFonts w:ascii="Calibri" w:hAnsi="Calibri"/>
          <w:sz w:val="21"/>
        </w:rPr>
        <w:t>•  C-04_fiche.docx — la présente fiche</w:t>
      </w:r>
    </w:p>
    <w:p>
      <w:pPr>
        <w:spacing w:after="60"/>
        <w:ind w:left="340"/>
      </w:pPr>
      <w:r>
        <w:rPr>
          <w:rFonts w:ascii="Calibri" w:hAnsi="Calibri"/>
          <w:sz w:val="21"/>
        </w:rPr>
        <w:t>•  C-04_fiche_sujet.docx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C-04 — Métré et chiffrage complet d'un module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