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C-10 — Motif gravé génératif sur bijou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C3 · Joaillerie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REF-115, REF-095, REF-069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Dimensionner une partition de surface en tenant compte de ce que les séparations consomment.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B-10, C-08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Produire un motif non répétitif contrôlé par des règles, puis le graver physiquement.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filet entre cellules doit rester gravable. Trop fin, il disparaît au polissage.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Génère sur le corps de bague un motif de type Voronoï dont les cellules mesurent entre 0,8 et 2,2 mm², sépare les cellules par un filet de 0,25 mm, grave à 0,3 mm de profondeur, et fais en sorte que le motif boucle sans rupture visible.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1610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10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61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C-10_sujet.gh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bague de l'exercice C-08 et un slider de densité de motif.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77 cellules.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 points motif, 3 points contraintes d'aire, 3 points raccord.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C-10 — Motif gravé génératif sur bijou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