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C-12 — Imbrication et export de fabrication</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C4 · Fabrication</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REF-113, REF-114, REF-087</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Chiffrer un débit en tenant compte des espacements et des bords perdus, et en tirer un taux de chute défendable.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B-13, C-05</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0.01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38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Boucler la chaîne conception-fabrication avec un livrable machine.</w:t>
      </w:r>
    </w:p>
    <w:p>
      <w:pPr>
        <w:spacing w:before="200" w:after="60"/>
      </w:pPr>
      <w:r>
        <w:rPr>
          <w:rFonts w:ascii="Calibri" w:hAnsi="Calibri"/>
          <w:b/>
          <w:color w:val="444A52"/>
          <w:sz w:val="22"/>
        </w:rPr>
        <w:t>Contexte</w:t>
      </w:r>
    </w:p>
    <w:p>
      <w:pPr>
        <w:spacing w:before="0" w:after="80"/>
      </w:pPr>
      <w:r>
        <w:rPr>
          <w:rFonts w:ascii="Calibri" w:hAnsi="Calibri"/>
          <w:b w:val="0"/>
          <w:i w:val="0"/>
          <w:sz w:val="21"/>
        </w:rPr>
        <w:t>La plaque se commande à l'unité et le taux de chute figure au devis. Il engage l'entreprise.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Imbrique les 46 pièces découpées fournies dans des plaques de 3 000 × 1 500 mm avec un espacement de 8 mm entre pièces et 15 mm de bord de plaque. Produis le plan de découpe repéré, le nombre de plaques et le taux de matière utile, puis exporte en DXF par plaque.</w:t>
            </w:r>
          </w:p>
        </w:tc>
      </w:tr>
    </w:tbl>
    <w:p>
      <w:pPr>
        <w:spacing w:after="0"/>
      </w:pPr>
    </w:p>
    <w:p>
      <w:pPr>
        <w:spacing w:before="80" w:after="40"/>
        <w:jc w:val="center"/>
      </w:pPr>
      <w:r>
        <w:drawing>
          <wp:inline xmlns:a="http://schemas.openxmlformats.org/drawingml/2006/main" xmlns:pic="http://schemas.openxmlformats.org/drawingml/2006/picture">
            <wp:extent cx="5903999" cy="3823438"/>
            <wp:docPr id="1" name="Picture 1"/>
            <wp:cNvGraphicFramePr>
              <a:graphicFrameLocks noChangeAspect="1"/>
            </wp:cNvGraphicFramePr>
            <a:graphic>
              <a:graphicData uri="http://schemas.openxmlformats.org/drawingml/2006/picture">
                <pic:pic>
                  <pic:nvPicPr>
                    <pic:cNvPr id="0" name="C-12_canvas_sujet.png"/>
                    <pic:cNvPicPr/>
                  </pic:nvPicPr>
                  <pic:blipFill>
                    <a:blip r:embed="rId10"/>
                    <a:stretch>
                      <a:fillRect/>
                    </a:stretch>
                  </pic:blipFill>
                  <pic:spPr>
                    <a:xfrm>
                      <a:off x="0" y="0"/>
                      <a:ext cx="5903999" cy="3823438"/>
                    </a:xfrm>
                    <a:prstGeom prst="rect"/>
                  </pic:spPr>
                </pic:pic>
              </a:graphicData>
            </a:graphic>
          </wp:inline>
        </w:drawing>
      </w:r>
    </w:p>
    <w:p>
      <w:pPr>
        <w:spacing w:after="160"/>
        <w:jc w:val="center"/>
      </w:pPr>
      <w:r>
        <w:rPr>
          <w:rFonts w:ascii="Calibri" w:hAnsi="Calibri"/>
          <w:i/>
          <w:color w:val="444A52"/>
          <w:sz w:val="18"/>
        </w:rPr>
        <w:t>Le canvas à l'ouverture de C-12_sujet.gh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46 contours de pièces internalisés.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27,36 % de chute, à 0,01 près.</w:t>
      </w:r>
    </w:p>
    <w:p>
      <w:pPr>
        <w:spacing w:before="0" w:after="80"/>
      </w:pPr>
      <w:r>
        <w:rPr>
          <w:rFonts w:ascii="Calibri" w:hAnsi="Calibri"/>
          <w:b w:val="0"/>
          <w:i/>
          <w:sz w:val="21"/>
        </w:rPr>
        <w:t>Branchez votre résultat sur le paramètre REPONSE. La correction compare cette sortie en mode NumericTolerance, avec une tolérance de 0.01.</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4 points imbrication, 3 points indicateurs, 3 points export.</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C-12 — Imbrication et export de fabrication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