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G-02 — La barre de progression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REF-062, REF-063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Construire cinq primitives distinctes et mesurer l'ensemble qu'elles forment, chaque forme étant un jalon.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Découper une tâche en jalons visibles pour soutenir l'effort.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barre de progression soutient l'effort en découpant une tâche longue en jalons visibles. Sans elle, cinq formes à poser se vivent comme une seule tâche qui n'avance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Reconstitue le logo en 5 étapes. Chaque forme correctement placée fait progresser la barre de 20 %. La barre passe au vert à 100 %.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1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1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gabarit du logo en filigrane et une barre de progression pré-câblée.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1 372,74 mm — la somme des cinq périmètres,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20 % par forme, validation à 100 %.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G-02 — La barre de progression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