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G-11 — Les mots croisés des composants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G2 · Exploration et découverte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REF-057, REF-058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Retrouver le nom anglais des composants natifs à partir de leur effet, et contrôler sa grille par une mesure globale.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Se rappeler × factuelle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A-27, A-28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10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Consolider le vocabulaire des composants natifs par un jeu de lettres.</w:t>
      </w:r>
    </w:p>
    <w:p>
      <w:pPr>
        <w:spacing w:before="200" w:after="60"/>
      </w:pPr>
      <w:r>
        <w:rPr>
          <w:rFonts w:ascii="Calibri" w:hAnsi="Calibri"/>
          <w:b/>
          <w:color w:val="444A52"/>
          <w:sz w:val="22"/>
        </w:rPr>
        <w:t>Contexte</w:t>
      </w:r>
    </w:p>
    <w:p>
      <w:pPr>
        <w:spacing w:before="0" w:after="80"/>
      </w:pPr>
      <w:r>
        <w:rPr>
          <w:rFonts w:ascii="Calibri" w:hAnsi="Calibri"/>
          <w:b w:val="0"/>
          <w:i w:val="0"/>
          <w:sz w:val="21"/>
        </w:rPr>
        <w:t>Le vocabulaire des composants est la barrière la plus basse et la plus haute : on ne trouve pas ce dont on ignore le nom. Les mots croisés le travaillent sans réciter.</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Complète la grille de mots croisés dessinée sur le canvas. Chaque définition renvoie au nom anglais d'un composant natif. Assemble ensuite les lettres des cases grisées pour former le mot final.</w:t>
            </w:r>
          </w:p>
        </w:tc>
      </w:tr>
    </w:tbl>
    <w:p>
      <w:pPr>
        <w:spacing w:after="0"/>
      </w:pPr>
    </w:p>
    <w:p>
      <w:pPr>
        <w:spacing w:before="80" w:after="40"/>
        <w:jc w:val="center"/>
      </w:pPr>
      <w:r>
        <w:drawing>
          <wp:inline xmlns:a="http://schemas.openxmlformats.org/drawingml/2006/main" xmlns:pic="http://schemas.openxmlformats.org/drawingml/2006/picture">
            <wp:extent cx="5903999" cy="2487033"/>
            <wp:docPr id="1" name="Picture 1"/>
            <wp:cNvGraphicFramePr>
              <a:graphicFrameLocks noChangeAspect="1"/>
            </wp:cNvGraphicFramePr>
            <a:graphic>
              <a:graphicData uri="http://schemas.openxmlformats.org/drawingml/2006/picture">
                <pic:pic>
                  <pic:nvPicPr>
                    <pic:cNvPr id="0" name="G-11_canvas_sujet.png"/>
                    <pic:cNvPicPr/>
                  </pic:nvPicPr>
                  <pic:blipFill>
                    <a:blip r:embed="rId10"/>
                    <a:stretch>
                      <a:fillRect/>
                    </a:stretch>
                  </pic:blipFill>
                  <pic:spPr>
                    <a:xfrm>
                      <a:off x="0" y="0"/>
                      <a:ext cx="5903999" cy="2487033"/>
                    </a:xfrm>
                    <a:prstGeom prst="rect"/>
                  </pic:spPr>
                </pic:pic>
              </a:graphicData>
            </a:graphic>
          </wp:inline>
        </w:drawing>
      </w:r>
    </w:p>
    <w:p>
      <w:pPr>
        <w:spacing w:after="160"/>
        <w:jc w:val="center"/>
      </w:pPr>
      <w:r>
        <w:rPr>
          <w:rFonts w:ascii="Calibri" w:hAnsi="Calibri"/>
          <w:i/>
          <w:color w:val="444A52"/>
          <w:sz w:val="18"/>
        </w:rPr>
        <w:t>Le canvas à l'ouverture de G-11_sujet.gh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Une grille dessinée en Text Tag 3D et une liste de définitions en Scribble.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43 — la somme des longueurs des sept mots placés.</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par définition, 3 points pour le mot final.</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G-11_complet.gh,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573473"/>
            <wp:docPr id="2" name="Picture 2"/>
            <wp:cNvGraphicFramePr>
              <a:graphicFrameLocks noChangeAspect="1"/>
            </wp:cNvGraphicFramePr>
            <a:graphic>
              <a:graphicData uri="http://schemas.openxmlformats.org/drawingml/2006/picture">
                <pic:pic>
                  <pic:nvPicPr>
                    <pic:cNvPr id="0" name="G-11_canvas_corrige.png"/>
                    <pic:cNvPicPr/>
                  </pic:nvPicPr>
                  <pic:blipFill>
                    <a:blip r:embed="rId11"/>
                    <a:stretch>
                      <a:fillRect/>
                    </a:stretch>
                  </pic:blipFill>
                  <pic:spPr>
                    <a:xfrm>
                      <a:off x="0" y="0"/>
                      <a:ext cx="5903999" cy="3573473"/>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Résoudre chaque définition : par exemple « éclate une liste en branches » donne GRAFT.</w:t>
      </w:r>
    </w:p>
    <w:p>
      <w:pPr>
        <w:spacing w:after="100"/>
        <w:ind w:left="340"/>
      </w:pPr>
      <w:r>
        <w:rPr>
          <w:rFonts w:ascii="Calibri" w:hAnsi="Calibri"/>
          <w:b/>
          <w:color w:val="2E5C8A"/>
          <w:sz w:val="21"/>
        </w:rPr>
        <w:t xml:space="preserve">Étape 2.  </w:t>
      </w:r>
      <w:r>
        <w:rPr>
          <w:rFonts w:ascii="Calibri" w:hAnsi="Calibri"/>
          <w:sz w:val="21"/>
        </w:rPr>
        <w:t>Saisir chaque réponse dans le Panel correspondant.</w:t>
      </w:r>
    </w:p>
    <w:p>
      <w:pPr>
        <w:spacing w:after="100"/>
        <w:ind w:left="340"/>
      </w:pPr>
      <w:r>
        <w:rPr>
          <w:rFonts w:ascii="Calibri" w:hAnsi="Calibri"/>
          <w:b/>
          <w:color w:val="2E5C8A"/>
          <w:sz w:val="21"/>
        </w:rPr>
        <w:t xml:space="preserve">Étape 3.  </w:t>
      </w:r>
      <w:r>
        <w:rPr>
          <w:rFonts w:ascii="Calibri" w:hAnsi="Calibri"/>
          <w:sz w:val="21"/>
        </w:rPr>
        <w:t>Extraire les lettres des cases grisées avec List Item aux index indiqués.</w:t>
      </w:r>
    </w:p>
    <w:p>
      <w:pPr>
        <w:spacing w:after="100"/>
        <w:ind w:left="340"/>
      </w:pPr>
      <w:r>
        <w:rPr>
          <w:rFonts w:ascii="Calibri" w:hAnsi="Calibri"/>
          <w:b/>
          <w:color w:val="2E5C8A"/>
          <w:sz w:val="21"/>
        </w:rPr>
        <w:t xml:space="preserve">Étape 4.  </w:t>
      </w:r>
      <w:r>
        <w:rPr>
          <w:rFonts w:ascii="Calibri" w:hAnsi="Calibri"/>
          <w:sz w:val="21"/>
        </w:rPr>
        <w:t>Assembler avec Concatenate et soumettre le mot final.</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Écrire `SORT` pour « ranger une liste » alors que la grille attend `SERIES` pour « produire une suite régulière » : la définition parle de PRODUIRE, pas de ranger. Une case de trop ou de moins fait tomber la somme, et c'est ce qui la signale.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Répondre en français alors que les noms de composants sont en anglais.</w:t>
      </w:r>
    </w:p>
    <w:p>
      <w:pPr>
        <w:spacing w:after="60"/>
        <w:ind w:left="340"/>
      </w:pPr>
      <w:r>
        <w:rPr>
          <w:rFonts w:ascii="Calibri" w:hAnsi="Calibri"/>
          <w:sz w:val="21"/>
        </w:rPr>
        <w:t>•  Index de cases grisées comptés à partir de 1.</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Text Split, Concatenate, List Item, Panel, Text Tag 3D</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Sept mots de 4 à 9 lettres, tous des composants natifs réellement employés dans le référentiel. La somme 43 ne se devine pas : elle exige les sept mots, et un seul faux la décale.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La somme des longueurs ne dit pas que les mots sont les BONS : deux mots de même longueur se substituent sans qu'elle bouge. C'est un contrôle de cohérence, pas une correction lettre à lettre — le mot final grisé, lui, se lit sur la fiche.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Grille thématique par domaine du référentiel.</w:t>
      </w:r>
    </w:p>
    <w:p>
      <w:pPr>
        <w:spacing w:after="60"/>
        <w:ind w:left="340"/>
      </w:pPr>
      <w:r>
        <w:rPr>
          <w:rFonts w:ascii="Calibri" w:hAnsi="Calibri"/>
          <w:sz w:val="21"/>
        </w:rPr>
        <w:t>•  Version mots mêlés.</w:t>
      </w:r>
    </w:p>
    <w:p>
      <w:pPr>
        <w:spacing w:before="200" w:after="60"/>
      </w:pPr>
      <w:r>
        <w:rPr>
          <w:rFonts w:ascii="Calibri" w:hAnsi="Calibri"/>
          <w:b/>
          <w:color w:val="444A52"/>
          <w:sz w:val="22"/>
        </w:rPr>
        <w:t>Fichiers de cet exercice</w:t>
      </w:r>
    </w:p>
    <w:p>
      <w:pPr>
        <w:spacing w:after="60"/>
        <w:ind w:left="340"/>
      </w:pPr>
      <w:r>
        <w:rPr>
          <w:rFonts w:ascii="Calibri" w:hAnsi="Calibri"/>
          <w:sz w:val="21"/>
        </w:rPr>
        <w:t>•  G-11_sujet.gh — énoncé et données de départ, sans le corrigé</w:t>
      </w:r>
    </w:p>
    <w:p>
      <w:pPr>
        <w:spacing w:after="60"/>
        <w:ind w:left="340"/>
      </w:pPr>
      <w:r>
        <w:rPr>
          <w:rFonts w:ascii="Calibri" w:hAnsi="Calibri"/>
          <w:sz w:val="21"/>
        </w:rPr>
        <w:t>•  G-11_complet.gh — énoncé et corrigé, ce dernier commandé par l'interrupteur</w:t>
      </w:r>
    </w:p>
    <w:p>
      <w:pPr>
        <w:spacing w:after="60"/>
        <w:ind w:left="340"/>
      </w:pPr>
      <w:r>
        <w:rPr>
          <w:rFonts w:ascii="Calibri" w:hAnsi="Calibri"/>
          <w:sz w:val="21"/>
        </w:rPr>
        <w:t>•  G-11.json — descripteur pour le plugin Magpie</w:t>
      </w:r>
    </w:p>
    <w:p>
      <w:pPr>
        <w:spacing w:after="60"/>
        <w:ind w:left="340"/>
      </w:pPr>
      <w:r>
        <w:rPr>
          <w:rFonts w:ascii="Calibri" w:hAnsi="Calibri"/>
          <w:sz w:val="21"/>
        </w:rPr>
        <w:t>•  G-11_fiche.docx — la présente fiche</w:t>
      </w:r>
    </w:p>
    <w:p>
      <w:pPr>
        <w:spacing w:after="60"/>
        <w:ind w:left="340"/>
      </w:pPr>
      <w:r>
        <w:rPr>
          <w:rFonts w:ascii="Calibri" w:hAnsi="Calibri"/>
          <w:sz w:val="21"/>
        </w:rPr>
        <w:t>•  G-11_fiche_sujet.docx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G-11 — Les mots croisés des composants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