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G-24 — Le retour sonore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G6 · Sensations et immersion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REF-027, REF-061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Composer trois conditions par un ET logique et compter ce qui les satisfait toutes.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Associer un retour immédiat perceptible à chaque action correcte ou fautive.</w:t>
      </w:r>
    </w:p>
    <w:p>
      <w:pPr>
        <w:spacing w:before="200" w:after="60"/>
      </w:pPr>
      <w:r>
        <w:rPr>
          <w:rFonts w:ascii="Calibri" w:hAnsi="Calibri"/>
          <w:b/>
          <w:color w:val="444A52"/>
          <w:sz w:val="22"/>
        </w:rPr>
        <w:t>Contexte</w:t>
      </w:r>
    </w:p>
    <w:p>
      <w:pPr>
        <w:spacing w:before="0" w:after="80"/>
      </w:pPr>
      <w:r>
        <w:rPr>
          <w:rFonts w:ascii="Calibri" w:hAnsi="Calibri"/>
          <w:b w:val="0"/>
          <w:i w:val="0"/>
          <w:sz w:val="21"/>
        </w:rPr>
        <w:t>Le retour sonore associe une perception immédiate à chaque action. Il fait sentir la différence entre « une condition vraie » et « toutes les conditions vraies », qui reste abstraite tant qu'on ne l'entend pas.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Câble la définition de sorte qu'un son de validation retentisse quand la condition est vraie et un son d'erreur quand elle est fausse. Puis résous l'énigme logique qui déclenche le son de victoire.</w:t>
            </w:r>
          </w:p>
        </w:tc>
      </w:tr>
    </w:tbl>
    <w:p>
      <w:pPr>
        <w:spacing w:after="0"/>
      </w:pPr>
    </w:p>
    <w:p>
      <w:pPr>
        <w:spacing w:before="80" w:after="40"/>
        <w:jc w:val="center"/>
      </w:pPr>
      <w:r>
        <w:drawing>
          <wp:inline xmlns:a="http://schemas.openxmlformats.org/drawingml/2006/main" xmlns:pic="http://schemas.openxmlformats.org/drawingml/2006/picture">
            <wp:extent cx="5903999" cy="1234992"/>
            <wp:docPr id="1" name="Picture 1"/>
            <wp:cNvGraphicFramePr>
              <a:graphicFrameLocks noChangeAspect="1"/>
            </wp:cNvGraphicFramePr>
            <a:graphic>
              <a:graphicData uri="http://schemas.openxmlformats.org/drawingml/2006/picture">
                <pic:pic>
                  <pic:nvPicPr>
                    <pic:cNvPr id="0" name="G-24_canvas_sujet.png"/>
                    <pic:cNvPicPr/>
                  </pic:nvPicPr>
                  <pic:blipFill>
                    <a:blip r:embed="rId10"/>
                    <a:stretch>
                      <a:fillRect/>
                    </a:stretch>
                  </pic:blipFill>
                  <pic:spPr>
                    <a:xfrm>
                      <a:off x="0" y="0"/>
                      <a:ext cx="5903999" cy="1234992"/>
                    </a:xfrm>
                    <a:prstGeom prst="rect"/>
                  </pic:spPr>
                </pic:pic>
              </a:graphicData>
            </a:graphic>
          </wp:inline>
        </w:drawing>
      </w:r>
    </w:p>
    <w:p>
      <w:pPr>
        <w:spacing w:after="160"/>
        <w:jc w:val="center"/>
      </w:pPr>
      <w:r>
        <w:rPr>
          <w:rFonts w:ascii="Calibri" w:hAnsi="Calibri"/>
          <w:i/>
          <w:color w:val="444A52"/>
          <w:sz w:val="18"/>
        </w:rPr>
        <w:t>Le canvas à l'ouverture de G-24_sujet.gh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fichiers audio référencés et un cluster de logique incomplet.</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8 — le nombre de valeurs qui remplissent les trois conditions.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2 points : 1 pour le câblage sonore, 1 pour l'énigme.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G-24_complet.gh,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6514708"/>
            <wp:docPr id="2" name="Picture 2"/>
            <wp:cNvGraphicFramePr>
              <a:graphicFrameLocks noChangeAspect="1"/>
            </wp:cNvGraphicFramePr>
            <a:graphic>
              <a:graphicData uri="http://schemas.openxmlformats.org/drawingml/2006/picture">
                <pic:pic>
                  <pic:nvPicPr>
                    <pic:cNvPr id="0" name="G-24_canvas_corrige.png"/>
                    <pic:cNvPicPr/>
                  </pic:nvPicPr>
                  <pic:blipFill>
                    <a:blip r:embed="rId11"/>
                    <a:stretch>
                      <a:fillRect/>
                    </a:stretch>
                  </pic:blipFill>
                  <pic:spPr>
                    <a:xfrm>
                      <a:off x="0" y="0"/>
                      <a:ext cx="5903999" cy="6514708"/>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Brancher le booléen de condition sur un Stream Filter à deux entrées sonores.</w:t>
      </w:r>
    </w:p>
    <w:p>
      <w:pPr>
        <w:spacing w:after="100"/>
        <w:ind w:left="340"/>
      </w:pPr>
      <w:r>
        <w:rPr>
          <w:rFonts w:ascii="Calibri" w:hAnsi="Calibri"/>
          <w:b/>
          <w:color w:val="2E5C8A"/>
          <w:sz w:val="21"/>
        </w:rPr>
        <w:t xml:space="preserve">Étape 2.  </w:t>
      </w:r>
      <w:r>
        <w:rPr>
          <w:rFonts w:ascii="Calibri" w:hAnsi="Calibri"/>
          <w:sz w:val="21"/>
        </w:rPr>
        <w:t>Vérifier l'alternance en basculant manuellement le toggle.</w:t>
      </w:r>
    </w:p>
    <w:p>
      <w:pPr>
        <w:spacing w:after="100"/>
        <w:ind w:left="340"/>
      </w:pPr>
      <w:r>
        <w:rPr>
          <w:rFonts w:ascii="Calibri" w:hAnsi="Calibri"/>
          <w:b/>
          <w:color w:val="2E5C8A"/>
          <w:sz w:val="21"/>
        </w:rPr>
        <w:t xml:space="preserve">Étape 3.  </w:t>
      </w:r>
      <w:r>
        <w:rPr>
          <w:rFonts w:ascii="Calibri" w:hAnsi="Calibri"/>
          <w:sz w:val="21"/>
        </w:rPr>
        <w:t>Résoudre l'énigme logique du cluster : trouver la combinaison de trois booléens rendant la sortie vraie.</w:t>
      </w:r>
    </w:p>
    <w:p>
      <w:pPr>
        <w:spacing w:after="100"/>
        <w:ind w:left="340"/>
      </w:pPr>
      <w:r>
        <w:rPr>
          <w:rFonts w:ascii="Calibri" w:hAnsi="Calibri"/>
          <w:b/>
          <w:color w:val="2E5C8A"/>
          <w:sz w:val="21"/>
        </w:rPr>
        <w:t xml:space="preserve">Étape 4.  </w:t>
      </w:r>
      <w:r>
        <w:rPr>
          <w:rFonts w:ascii="Calibri" w:hAnsi="Calibri"/>
          <w:sz w:val="21"/>
        </w:rPr>
        <w:t>Soumettre la combinaison.</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Enchaîner les trois conditions par un OU au lieu d'un ET : 71 valeurs sur 80 au lieu de 8. Le son de victoire retentit alors presque toujours, ce qui le rend inaudible — et c'est exactement pourquoi un retour sonore mal câblé est pire que pas de retour.</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Son déclenché à chaque recalcul et non au seul changement d'état.</w:t>
      </w:r>
    </w:p>
    <w:p>
      <w:pPr>
        <w:spacing w:after="60"/>
        <w:ind w:left="340"/>
      </w:pPr>
      <w:r>
        <w:rPr>
          <w:rFonts w:ascii="Calibri" w:hAnsi="Calibri"/>
          <w:sz w:val="21"/>
        </w:rPr>
        <w:t>•  Chemin de fichier audio absolu, non transportable d'un poste à l'autre.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Boolean Toggle, Stream Filter, Panel, Play Sound (Human)</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Quatre-vingts valeurs de 1 à 400. Les trois conditions se recouvrent partiellement — tout multiple de 4 ne finit pas par 0, 4 ou 8 — de sorte que le ET et le OU donnent des comptes très éloignés, 8 contre 71 : l'erreur ne peut pas passer pour du bruit.</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câblage SONORE lui-même n'est pas vérifié : Grasshopper joue les sons par un plugin externe, et aucune valeur n'en sort. Seule l'énigme logique qui les déclenche est corrigée.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Palette sonore par thématique.</w:t>
      </w:r>
    </w:p>
    <w:p>
      <w:pPr>
        <w:spacing w:after="60"/>
        <w:ind w:left="340"/>
      </w:pPr>
      <w:r>
        <w:rPr>
          <w:rFonts w:ascii="Calibri" w:hAnsi="Calibri"/>
          <w:sz w:val="21"/>
        </w:rPr>
        <w:t>•  Son de compte à rebours dans les dix dernières secondes.</w:t>
      </w:r>
    </w:p>
    <w:p>
      <w:pPr>
        <w:spacing w:before="200" w:after="60"/>
      </w:pPr>
      <w:r>
        <w:rPr>
          <w:rFonts w:ascii="Calibri" w:hAnsi="Calibri"/>
          <w:b/>
          <w:color w:val="444A52"/>
          <w:sz w:val="22"/>
        </w:rPr>
        <w:t>Fichiers de cet exercice</w:t>
      </w:r>
    </w:p>
    <w:p>
      <w:pPr>
        <w:spacing w:after="60"/>
        <w:ind w:left="340"/>
      </w:pPr>
      <w:r>
        <w:rPr>
          <w:rFonts w:ascii="Calibri" w:hAnsi="Calibri"/>
          <w:sz w:val="21"/>
        </w:rPr>
        <w:t>•  G-24_sujet.gh — énoncé et données de départ, sans le corrigé</w:t>
      </w:r>
    </w:p>
    <w:p>
      <w:pPr>
        <w:spacing w:after="60"/>
        <w:ind w:left="340"/>
      </w:pPr>
      <w:r>
        <w:rPr>
          <w:rFonts w:ascii="Calibri" w:hAnsi="Calibri"/>
          <w:sz w:val="21"/>
        </w:rPr>
        <w:t>•  G-24_complet.gh — énoncé et corrigé, ce dernier commandé par l'interrupteur</w:t>
      </w:r>
    </w:p>
    <w:p>
      <w:pPr>
        <w:spacing w:after="60"/>
        <w:ind w:left="340"/>
      </w:pPr>
      <w:r>
        <w:rPr>
          <w:rFonts w:ascii="Calibri" w:hAnsi="Calibri"/>
          <w:sz w:val="21"/>
        </w:rPr>
        <w:t>•  G-24.json — descripteur pour le plugin Magpie</w:t>
      </w:r>
    </w:p>
    <w:p>
      <w:pPr>
        <w:spacing w:after="60"/>
        <w:ind w:left="340"/>
      </w:pPr>
      <w:r>
        <w:rPr>
          <w:rFonts w:ascii="Calibri" w:hAnsi="Calibri"/>
          <w:sz w:val="21"/>
        </w:rPr>
        <w:t>•  G-24_fiche.docx — la présente fiche</w:t>
      </w:r>
    </w:p>
    <w:p>
      <w:pPr>
        <w:spacing w:after="60"/>
        <w:ind w:left="340"/>
      </w:pPr>
      <w:r>
        <w:rPr>
          <w:rFonts w:ascii="Calibri" w:hAnsi="Calibri"/>
          <w:sz w:val="21"/>
        </w:rPr>
        <w:t>•  G-24_fiche_sujet.docx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G-24 — Le retour sonore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