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1 024 faces avec les réglages par défaut du mailleur — la correction accepte 5 % autour de cette valeur.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96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9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Mailler la surface en fixant l'écart maximal, non la densité.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 maillage est fermé et sans face dégénérée.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les jonctions si le maillage sort en morceaux.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poids du fichier exporté : c'est la contrepartie directe de la finesse.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Augmenter la densité jusqu'à ce que « ça ait l'air bien ». L'écart maximal est un réglage explicite : à l'œil, on produit soit un maillage grossier qui passe pour lisse à l'écran, soit un maillage inutilement lourd.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la densité au lieu de l'écart : le résultat n'est plus contrôlable.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Maillage en plusieurs morceaux non joints : il paraît fermé et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Mesh Brep, Mesh Join, Face Count,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présente une zone de forte courbure et une zone plane : un maillage à densité uniforme y est toujours mauvais quelque part, ce qui oblige à passer par le critère d'écart.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corrigé maille avec les réglages PAR DÉFAUT, et rend 1 024 faces. Il ne pilote pas l'écart maximal : ce réglage se pose dans la boîte de dialogue de maillage et ne se transporte pas dans le fichier. Le corrigé sert donc d'ordre de grandeur ; c'est au formateur de vérifier que l'apprenant a bien raisonné en écart et non en densité.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Doubler l'écart admis et mesurer le gain en nombre de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Lisser le maillage et vérifier ce que le lissage fait à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