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GP-04 — SubD ou NURBS ?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GP3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REF-077, REF-078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poignée de meuble doit être dessinée en forme libre, puis usinée.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devez dessiner une poignée de forme libre, qui sera ensuite usinée à partir d'un modèle exact. Par quoi commencez-vous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Directement en NURBS, puisque c'est ce qu'il faut à la fin.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En maillage, plus simple à déformer.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Peu importe, les trois sont équivalents.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En SubD pour la recherche de forme, converti en NURBS pour l'usinage. ← réponse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est le réflexe de qui connaît la contrainte de sortie et pas les outils de forme — on y passe un temps considérable à recaler des points de contrôle. (b) donne une forme facile à modeler et impossible à usiner proprement. La bonne réponse tient à ce que SubD et NURBS ne s'opposent pas : l'un sert la conception, l'autre la fabrication, et la conversion est prévue pour.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GP-04_complet.gh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4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GP-04 — SubD ou NURBS ?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