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GP-05 — La chaîne de cotes d'une façade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GP3 · Plan paramétrique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REF-065, REF-066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Produire une cotation en chaîne qui se recalcule avec le modèle, en distinguant ce qui se mesure d'un voisin à l'autre de ce qui se repère depuis une origine unique.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Produire une cotation en chaîne qui se recalcule avec le modèle, en distinguant ce qui se mesure d'un voisin à l'autre de ce qui se repère depuis une origine unique.</w:t>
      </w:r>
    </w:p>
    <w:p>
      <w:pPr>
        <w:spacing w:before="200" w:after="60"/>
      </w:pPr>
      <w:r>
        <w:rPr>
          <w:rFonts w:ascii="Calibri" w:hAnsi="Calibri"/>
          <w:b/>
          <w:color w:val="444A52"/>
          <w:sz w:val="22"/>
        </w:rPr>
        <w:t>Contexte</w:t>
      </w:r>
    </w:p>
    <w:p>
      <w:pPr>
        <w:spacing w:before="0" w:after="80"/>
      </w:pPr>
      <w:r>
        <w:rPr>
          <w:rFonts w:ascii="Calibri" w:hAnsi="Calibri"/>
          <w:b w:val="0"/>
          <w:i w:val="0"/>
          <w:sz w:val="21"/>
        </w:rPr>
        <w:t>Le poseur implante les percements d'une façade au décamètre, depuis un unique point de référence : c'est la seule manière de ne pas cumuler les erreurs de report.</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bureau d'études fournit les entraxes des sept percements, mesurés chacun depuis le précédent, et la distance du premier au point de référence. Donnez la cote du dernier percement telle qu'elle doit figurer au plan de pose, en millimètres.</w:t>
            </w:r>
          </w:p>
        </w:tc>
      </w:tr>
    </w:tbl>
    <w:p>
      <w:pPr>
        <w:spacing w:after="0"/>
      </w:pPr>
    </w:p>
    <w:p>
      <w:pPr>
        <w:spacing w:before="80" w:after="40"/>
        <w:jc w:val="center"/>
      </w:pPr>
      <w:r>
        <w:drawing>
          <wp:inline xmlns:a="http://schemas.openxmlformats.org/drawingml/2006/main" xmlns:pic="http://schemas.openxmlformats.org/drawingml/2006/picture">
            <wp:extent cx="5903999" cy="2799927"/>
            <wp:docPr id="1" name="Picture 1"/>
            <wp:cNvGraphicFramePr>
              <a:graphicFrameLocks noChangeAspect="1"/>
            </wp:cNvGraphicFramePr>
            <a:graphic>
              <a:graphicData uri="http://schemas.openxmlformats.org/drawingml/2006/picture">
                <pic:pic>
                  <pic:nvPicPr>
                    <pic:cNvPr id="0" name="GP-05_canvas_sujet.png"/>
                    <pic:cNvPicPr/>
                  </pic:nvPicPr>
                  <pic:blipFill>
                    <a:blip r:embed="rId10"/>
                    <a:stretch>
                      <a:fillRect/>
                    </a:stretch>
                  </pic:blipFill>
                  <pic:spPr>
                    <a:xfrm>
                      <a:off x="0" y="0"/>
                      <a:ext cx="5903999" cy="2799927"/>
                    </a:xfrm>
                    <a:prstGeom prst="rect"/>
                  </pic:spPr>
                </pic:pic>
              </a:graphicData>
            </a:graphic>
          </wp:inline>
        </w:drawing>
      </w:r>
    </w:p>
    <w:p>
      <w:pPr>
        <w:spacing w:after="160"/>
        <w:jc w:val="center"/>
      </w:pPr>
      <w:r>
        <w:rPr>
          <w:rFonts w:ascii="Calibri" w:hAnsi="Calibri"/>
          <w:i/>
          <w:color w:val="444A52"/>
          <w:sz w:val="18"/>
        </w:rPr>
        <w:t>Le canvas à l'ouverture de GP-05_sujet.gh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La distance du premier percement au point de référence, et les sept entraxes successifs, en millimètres.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8 955 mm — la position du dernier percement, comptée depuis le point de référence.</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cote finale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GP-05_complet.gh,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5948557"/>
            <wp:docPr id="2" name="Picture 2"/>
            <wp:cNvGraphicFramePr>
              <a:graphicFrameLocks noChangeAspect="1"/>
            </wp:cNvGraphicFramePr>
            <a:graphic>
              <a:graphicData uri="http://schemas.openxmlformats.org/drawingml/2006/picture">
                <pic:pic>
                  <pic:nvPicPr>
                    <pic:cNvPr id="0" name="GP-05_canvas_corrige.png"/>
                    <pic:cNvPicPr/>
                  </pic:nvPicPr>
                  <pic:blipFill>
                    <a:blip r:embed="rId11"/>
                    <a:stretch>
                      <a:fillRect/>
                    </a:stretch>
                  </pic:blipFill>
                  <pic:spPr>
                    <a:xfrm>
                      <a:off x="0" y="0"/>
                      <a:ext cx="5903999" cy="5948557"/>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Distinguer la donnée relative (l'entraxe) de la donnée absolue (la position depuis l'origine).</w:t>
      </w:r>
    </w:p>
    <w:p>
      <w:pPr>
        <w:spacing w:after="100"/>
        <w:ind w:left="340"/>
      </w:pPr>
      <w:r>
        <w:rPr>
          <w:rFonts w:ascii="Calibri" w:hAnsi="Calibri"/>
          <w:b/>
          <w:color w:val="2E5C8A"/>
          <w:sz w:val="21"/>
        </w:rPr>
        <w:t xml:space="preserve">Étape 2.  </w:t>
      </w:r>
      <w:r>
        <w:rPr>
          <w:rFonts w:ascii="Calibri" w:hAnsi="Calibri"/>
          <w:sz w:val="21"/>
        </w:rPr>
        <w:t>Cumuler les entraxes.</w:t>
      </w:r>
    </w:p>
    <w:p>
      <w:pPr>
        <w:spacing w:after="100"/>
        <w:ind w:left="340"/>
      </w:pPr>
      <w:r>
        <w:rPr>
          <w:rFonts w:ascii="Calibri" w:hAnsi="Calibri"/>
          <w:b/>
          <w:color w:val="2E5C8A"/>
          <w:sz w:val="21"/>
        </w:rPr>
        <w:t xml:space="preserve">Étape 3.  </w:t>
      </w:r>
      <w:r>
        <w:rPr>
          <w:rFonts w:ascii="Calibri" w:hAnsi="Calibri"/>
          <w:sz w:val="21"/>
        </w:rPr>
        <w:t>Ajouter l'écart d'origine.</w:t>
      </w:r>
    </w:p>
    <w:p>
      <w:pPr>
        <w:spacing w:after="100"/>
        <w:ind w:left="340"/>
      </w:pPr>
      <w:r>
        <w:rPr>
          <w:rFonts w:ascii="Calibri" w:hAnsi="Calibri"/>
          <w:b/>
          <w:color w:val="2E5C8A"/>
          <w:sz w:val="21"/>
        </w:rPr>
        <w:t xml:space="preserve">Étape 4.  </w:t>
      </w:r>
      <w:r>
        <w:rPr>
          <w:rFonts w:ascii="Calibri" w:hAnsi="Calibri"/>
          <w:sz w:val="21"/>
        </w:rPr>
        <w:t>Vérifier que la première cote vaut bien l'écart d'origine, et non zéro.</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Reporter le dernier entraxe (1 290 mm) ou la somme des seuls entraxes (8 535 mm). Le premier oublie que l'entraxe est une distance relative ; le second oublie l'écart d'origine. Sur le chantier, les deux se traduisent par un percement au mauvais endroit — et l'un des deux le met à 420 mm près, un écart assez petit pour n'être vu qu'une fois la menuiserie livrée.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Confondre entraxe et cote cumulée.</w:t>
      </w:r>
    </w:p>
    <w:p>
      <w:pPr>
        <w:spacing w:after="60"/>
        <w:ind w:left="340"/>
      </w:pPr>
      <w:r>
        <w:rPr>
          <w:rFonts w:ascii="Calibri" w:hAnsi="Calibri"/>
          <w:sz w:val="21"/>
        </w:rPr>
        <w:t>•  Oublier l'écart entre le point de référence et le premier percement.</w:t>
      </w:r>
    </w:p>
    <w:p>
      <w:pPr>
        <w:spacing w:after="60"/>
        <w:ind w:left="340"/>
      </w:pPr>
      <w:r>
        <w:rPr>
          <w:rFonts w:ascii="Calibri" w:hAnsi="Calibri"/>
          <w:sz w:val="21"/>
        </w:rPr>
        <w:t>•  Coter chaque percement depuis son voisin sur le plan de pose : les erreurs de report s'additionnent alors.</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Nombre, Mass Addition, Addition,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Sept entraxes irréguliers, aucun multiple d'un pas commun : la cote finale ne se retrouve pas de tête. L'écart d'origine de 420 mm est du même ordre qu'un tableau de baie, donc plausible et facile à oublier.</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L'exercice valide la cote finale, pas la cotation entière. Une chaîne juste sur son dernier maillon peut être fausse au milieu : le formateur regarde le graphe, pas seulement la réponse.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Produire la chaîne complète des huit cotes, et non la seule dernière.</w:t>
      </w:r>
    </w:p>
    <w:p>
      <w:pPr>
        <w:spacing w:after="60"/>
        <w:ind w:left="340"/>
      </w:pPr>
      <w:r>
        <w:rPr>
          <w:rFonts w:ascii="Calibri" w:hAnsi="Calibri"/>
          <w:sz w:val="21"/>
        </w:rPr>
        <w:t>•  Ajouter un percement au milieu et vérifier que toutes les cotes suivantes se recalculent seules.</w:t>
      </w:r>
    </w:p>
    <w:p>
      <w:pPr>
        <w:spacing w:before="200" w:after="60"/>
      </w:pPr>
      <w:r>
        <w:rPr>
          <w:rFonts w:ascii="Calibri" w:hAnsi="Calibri"/>
          <w:b/>
          <w:color w:val="444A52"/>
          <w:sz w:val="22"/>
        </w:rPr>
        <w:t>Fichiers de cet exercice</w:t>
      </w:r>
    </w:p>
    <w:p>
      <w:pPr>
        <w:spacing w:after="60"/>
        <w:ind w:left="340"/>
      </w:pPr>
      <w:r>
        <w:rPr>
          <w:rFonts w:ascii="Calibri" w:hAnsi="Calibri"/>
          <w:sz w:val="21"/>
        </w:rPr>
        <w:t>•  GP-05_sujet.gh — énoncé et données de départ, sans le corrigé</w:t>
      </w:r>
    </w:p>
    <w:p>
      <w:pPr>
        <w:spacing w:after="60"/>
        <w:ind w:left="340"/>
      </w:pPr>
      <w:r>
        <w:rPr>
          <w:rFonts w:ascii="Calibri" w:hAnsi="Calibri"/>
          <w:sz w:val="21"/>
        </w:rPr>
        <w:t>•  GP-05_complet.gh — énoncé et corrigé, ce dernier commandé par l'interrupteur</w:t>
      </w:r>
    </w:p>
    <w:p>
      <w:pPr>
        <w:spacing w:after="60"/>
        <w:ind w:left="340"/>
      </w:pPr>
      <w:r>
        <w:rPr>
          <w:rFonts w:ascii="Calibri" w:hAnsi="Calibri"/>
          <w:sz w:val="21"/>
        </w:rPr>
        <w:t>•  GP-05.json — descripteur pour le plugin Magpie</w:t>
      </w:r>
    </w:p>
    <w:p>
      <w:pPr>
        <w:spacing w:after="60"/>
        <w:ind w:left="340"/>
      </w:pPr>
      <w:r>
        <w:rPr>
          <w:rFonts w:ascii="Calibri" w:hAnsi="Calibri"/>
          <w:sz w:val="21"/>
        </w:rPr>
        <w:t>•  GP-05_fiche.docx — la présente fiche</w:t>
      </w:r>
    </w:p>
    <w:p>
      <w:pPr>
        <w:spacing w:after="60"/>
        <w:ind w:left="340"/>
      </w:pPr>
      <w:r>
        <w:rPr>
          <w:rFonts w:ascii="Calibri" w:hAnsi="Calibri"/>
          <w:sz w:val="21"/>
        </w:rPr>
        <w:t>•  GP-05_fiche_sujet.docx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GP-05 — La chaîne de cotes d'une façade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