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IA-01 — Spécifier un composant plutôt que le décrire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IA1 · Formuler et cadrer une demande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REF-117, REF-139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Rédiger la spécification d'un composant assez précise pour que le code obtenu soit juste du premier coup.</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A-08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Rédiger la spécification d'un composant assez précise pour que le code obtenu soit juste du premier coup.</w:t>
      </w:r>
    </w:p>
    <w:p>
      <w:pPr>
        <w:spacing w:before="200" w:after="60"/>
      </w:pPr>
      <w:r>
        <w:rPr>
          <w:rFonts w:ascii="Calibri" w:hAnsi="Calibri"/>
          <w:b/>
          <w:color w:val="444A52"/>
          <w:sz w:val="22"/>
        </w:rPr>
        <w:t>Contexte</w:t>
      </w:r>
    </w:p>
    <w:p>
      <w:pPr>
        <w:spacing w:before="0" w:after="80"/>
      </w:pPr>
      <w:r>
        <w:rPr>
          <w:rFonts w:ascii="Calibri" w:hAnsi="Calibri"/>
          <w:b w:val="0"/>
          <w:i w:val="0"/>
          <w:sz w:val="21"/>
        </w:rPr>
        <w:t>Le contrôle de réception d'un lot de platines porte sur l'entraxe de perçage, nominal 250 mm, toléré à ± 1,5 mm.</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Les 28 entraxes relevés vous sont fournis. Faites produire par un assistant un composant scripté qui renvoie le nombre de platines hors tolérance, et branchez sa sortie sur la réponse. Vous ne corrigerez pas le code à la main : si le résultat est faux, c'est la demande qu'il faut reprendre.</w:t>
            </w:r>
          </w:p>
        </w:tc>
      </w:tr>
    </w:tbl>
    <w:p>
      <w:pPr>
        <w:spacing w:after="0"/>
      </w:pPr>
    </w:p>
    <w:p>
      <w:pPr>
        <w:spacing w:before="80" w:after="40"/>
        <w:jc w:val="center"/>
      </w:pPr>
      <w:r>
        <w:drawing>
          <wp:inline xmlns:a="http://schemas.openxmlformats.org/drawingml/2006/main" xmlns:pic="http://schemas.openxmlformats.org/drawingml/2006/picture">
            <wp:extent cx="5903999" cy="2770872"/>
            <wp:docPr id="1" name="Picture 1"/>
            <wp:cNvGraphicFramePr>
              <a:graphicFrameLocks noChangeAspect="1"/>
            </wp:cNvGraphicFramePr>
            <a:graphic>
              <a:graphicData uri="http://schemas.openxmlformats.org/drawingml/2006/picture">
                <pic:pic>
                  <pic:nvPicPr>
                    <pic:cNvPr id="0" name="IA-01_canvas_sujet.png"/>
                    <pic:cNvPicPr/>
                  </pic:nvPicPr>
                  <pic:blipFill>
                    <a:blip r:embed="rId10"/>
                    <a:stretch>
                      <a:fillRect/>
                    </a:stretch>
                  </pic:blipFill>
                  <pic:spPr>
                    <a:xfrm>
                      <a:off x="0" y="0"/>
                      <a:ext cx="5903999" cy="2770872"/>
                    </a:xfrm>
                    <a:prstGeom prst="rect"/>
                  </pic:spPr>
                </pic:pic>
              </a:graphicData>
            </a:graphic>
          </wp:inline>
        </w:drawing>
      </w:r>
    </w:p>
    <w:p>
      <w:pPr>
        <w:spacing w:after="160"/>
        <w:jc w:val="center"/>
      </w:pPr>
      <w:r>
        <w:rPr>
          <w:rFonts w:ascii="Calibri" w:hAnsi="Calibri"/>
          <w:i/>
          <w:color w:val="444A52"/>
          <w:sz w:val="18"/>
        </w:rPr>
        <w:t>Le canvas à l'ouverture de IA-01_sujet.gh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28 entraxes relevés, en millimètres, ainsi que l'entraxe nominal et la tolérance, chacun sur une entrée distincte.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 nombre entier : combien de platines sortent de la tolérance. Il doit sortir du composant produit par l'assistant, non d'un comptage à la main.</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sortie vaut 5 sans retouche manuelle du code.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IA-01 — Spécifier un composant plutôt que le décrire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