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IA-02 — Le contexte technique manquant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IA1 · Formuler et cadrer une demande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Comprendre × conceptuelle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— (non notée)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POURQUOI CE N'EST PAS UN EXERCICE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1"/>
              </w:rPr>
              <w:t>Cet item n'est pas un exercice noté. Il porte une connaissance nécessaire, mais qui s'acquiert et se vérifie par une question, non par un montage : la construire dans Grasshopper mesurerait la mémoire, pas la compétence.</w:t>
            </w:r>
          </w:p>
        </w:tc>
      </w:tr>
    </w:tbl>
    <w:p>
      <w:pPr>
        <w:spacing w:after="0"/>
      </w:pPr>
    </w:p>
    <w:p>
      <w:pPr>
        <w:spacing w:before="120" w:after="80"/>
      </w:pPr>
      <w:r>
        <w:rPr>
          <w:rFonts w:ascii="Calibri" w:hAnsi="Calibri"/>
          <w:b w:val="0"/>
          <w:i w:val="0"/>
          <w:sz w:val="21"/>
        </w:rPr>
        <w:t>L'énoncé d'origine demandait de constater un comportement du logiciel plutôt que de produire un résultat. La réponse s'obtenait en sachant, non en construisant.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 d'origine, conservé pour mémoire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assistant produit un code qui refuse de se compiler dans Rhino 8 alors qu'il semble correct.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LA QUESTION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Vous demandez un composant Grasshopper à un assistant, sans autre précision. Le code obtenu ne compile pas. Quelle information manquait le plus probablement ?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a) La version de Rhino et la bibliothèque visée. ← réponse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b) Le nom que vous vouliez donner au composant.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c) La couleur de l'icône.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d) Rien : les assistants ne savent pas écrire de composant.</w:t>
      </w:r>
    </w:p>
    <w:p>
      <w:pPr>
        <w:spacing w:before="0" w:after="80"/>
      </w:pPr>
      <w:r>
        <w:rPr>
          <w:rFonts w:ascii="Calibri" w:hAnsi="Calibri"/>
          <w:b/>
          <w:i w:val="0"/>
          <w:sz w:val="21"/>
        </w:rPr>
        <w:t>Valeur diagnostique : (d) est la conclusion qu'en tire l'apprenant découragé, et elle est fausse — le modèle a produit du code valide pour une autre version de l'API. Nommer la version déplace le problème de « l'outil ne marche pas » à « ma demande était incomplète », qui est la seule formulation sur laquelle on peut agir.</w:t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COMMENT L'EMPLOYER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Avant l'exercice qui mobilise cette connaissance, pas après : elle en est un prérequis.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Poser la question à main levée, relever la répartition des réponses, et n'expliquer que si une réponse fausse est majoritaire.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La valeur est dans la mauvaise réponse : elle nomme la représentation à corriger.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Démonstration facultative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Le fichier IA-02_complet.gh reste disponible comme support de démonstration au vidéoprojecteur. Il n'est pas à faire construire.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189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02_canvas_corri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189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montage de démonstration.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IA-02 — Le contexte technique manquant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