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IA-10 — Regrouper un débit pour rationaliser la commande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IA4 · Apprentissage automatique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REF-130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Regrouper automatiquement des éléments par similarité et exploiter le regroupement obtenu.</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IA-09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Regrouper automatiquement des éléments par similarité et exploiter le regroupement obtenu.</w:t>
      </w:r>
    </w:p>
    <w:p>
      <w:pPr>
        <w:spacing w:before="200" w:after="60"/>
      </w:pPr>
      <w:r>
        <w:rPr>
          <w:rFonts w:ascii="Calibri" w:hAnsi="Calibri"/>
          <w:b/>
          <w:color w:val="444A52"/>
          <w:sz w:val="22"/>
        </w:rPr>
        <w:t>Contexte</w:t>
      </w:r>
    </w:p>
    <w:p>
      <w:pPr>
        <w:spacing w:before="0" w:after="80"/>
      </w:pPr>
      <w:r>
        <w:rPr>
          <w:rFonts w:ascii="Calibri" w:hAnsi="Calibri"/>
          <w:b w:val="0"/>
          <w:i w:val="0"/>
          <w:sz w:val="21"/>
        </w:rPr>
        <w:t>Le fournisseur consent une remise à partir de trois longueurs standard seulement : il faut ramener un débit dispersé à trois longueurs de commande.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Les longueurs de débit vous sont fournies. Ramenez-les à trois longueurs de commande, chacune au moins égale à la plus longue pièce de son groupe, et donnez le nombre de pièces du groupe le plus fourni.</w:t>
            </w:r>
          </w:p>
        </w:tc>
      </w:tr>
    </w:tbl>
    <w:p>
      <w:pPr>
        <w:spacing w:after="0"/>
      </w:pPr>
    </w:p>
    <w:p>
      <w:pPr>
        <w:spacing w:before="80" w:after="40"/>
        <w:jc w:val="center"/>
      </w:pPr>
      <w:r>
        <w:drawing>
          <wp:inline xmlns:a="http://schemas.openxmlformats.org/drawingml/2006/main" xmlns:pic="http://schemas.openxmlformats.org/drawingml/2006/picture">
            <wp:extent cx="5903999" cy="1747692"/>
            <wp:docPr id="1" name="Picture 1"/>
            <wp:cNvGraphicFramePr>
              <a:graphicFrameLocks noChangeAspect="1"/>
            </wp:cNvGraphicFramePr>
            <a:graphic>
              <a:graphicData uri="http://schemas.openxmlformats.org/drawingml/2006/picture">
                <pic:pic>
                  <pic:nvPicPr>
                    <pic:cNvPr id="0" name="IA-10_canvas_sujet.png"/>
                    <pic:cNvPicPr/>
                  </pic:nvPicPr>
                  <pic:blipFill>
                    <a:blip r:embed="rId10"/>
                    <a:stretch>
                      <a:fillRect/>
                    </a:stretch>
                  </pic:blipFill>
                  <pic:spPr>
                    <a:xfrm>
                      <a:off x="0" y="0"/>
                      <a:ext cx="5903999" cy="1747692"/>
                    </a:xfrm>
                    <a:prstGeom prst="rect"/>
                  </pic:spPr>
                </pic:pic>
              </a:graphicData>
            </a:graphic>
          </wp:inline>
        </w:drawing>
      </w:r>
    </w:p>
    <w:p>
      <w:pPr>
        <w:spacing w:after="160"/>
        <w:jc w:val="center"/>
      </w:pPr>
      <w:r>
        <w:rPr>
          <w:rFonts w:ascii="Calibri" w:hAnsi="Calibri"/>
          <w:i/>
          <w:color w:val="444A52"/>
          <w:sz w:val="18"/>
        </w:rPr>
        <w:t>Le canvas à l'ouverture de IA-10_sujet.gh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24 longueurs de débit, en millimètres.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L'effectif du groupe le plus fourni.</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l'effectif annoncé correspond au regroupement de référence.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IA-10_complet.gh,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3054976"/>
            <wp:docPr id="2" name="Picture 2"/>
            <wp:cNvGraphicFramePr>
              <a:graphicFrameLocks noChangeAspect="1"/>
            </wp:cNvGraphicFramePr>
            <a:graphic>
              <a:graphicData uri="http://schemas.openxmlformats.org/drawingml/2006/picture">
                <pic:pic>
                  <pic:nvPicPr>
                    <pic:cNvPr id="0" name="IA-10_canvas_corrige.png"/>
                    <pic:cNvPicPr/>
                  </pic:nvPicPr>
                  <pic:blipFill>
                    <a:blip r:embed="rId11"/>
                    <a:stretch>
                      <a:fillRect/>
                    </a:stretch>
                  </pic:blipFill>
                  <pic:spPr>
                    <a:xfrm>
                      <a:off x="0" y="0"/>
                      <a:ext cx="5903999" cy="3054976"/>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Regrouper les longueurs en trois ensembles par similarité.</w:t>
      </w:r>
    </w:p>
    <w:p>
      <w:pPr>
        <w:spacing w:after="100"/>
        <w:ind w:left="340"/>
      </w:pPr>
      <w:r>
        <w:rPr>
          <w:rFonts w:ascii="Calibri" w:hAnsi="Calibri"/>
          <w:b/>
          <w:color w:val="2E5C8A"/>
          <w:sz w:val="21"/>
        </w:rPr>
        <w:t xml:space="preserve">Étape 2.  </w:t>
      </w:r>
      <w:r>
        <w:rPr>
          <w:rFonts w:ascii="Calibri" w:hAnsi="Calibri"/>
          <w:sz w:val="21"/>
        </w:rPr>
        <w:t>Relever le maximum de chaque groupe : c'est la longueur de commande, pas la moyenne.</w:t>
      </w:r>
    </w:p>
    <w:p>
      <w:pPr>
        <w:spacing w:after="100"/>
        <w:ind w:left="340"/>
      </w:pPr>
      <w:r>
        <w:rPr>
          <w:rFonts w:ascii="Calibri" w:hAnsi="Calibri"/>
          <w:b/>
          <w:color w:val="2E5C8A"/>
          <w:sz w:val="21"/>
        </w:rPr>
        <w:t xml:space="preserve">Étape 3.  </w:t>
      </w:r>
      <w:r>
        <w:rPr>
          <w:rFonts w:ascii="Calibri" w:hAnsi="Calibri"/>
          <w:sz w:val="21"/>
        </w:rPr>
        <w:t>Compter les pièces de chaque groupe.</w:t>
      </w:r>
    </w:p>
    <w:p>
      <w:pPr>
        <w:spacing w:after="100"/>
        <w:ind w:left="340"/>
      </w:pPr>
      <w:r>
        <w:rPr>
          <w:rFonts w:ascii="Calibri" w:hAnsi="Calibri"/>
          <w:b/>
          <w:color w:val="2E5C8A"/>
          <w:sz w:val="21"/>
        </w:rPr>
        <w:t xml:space="preserve">Étape 4.  </w:t>
      </w:r>
      <w:r>
        <w:rPr>
          <w:rFonts w:ascii="Calibri" w:hAnsi="Calibri"/>
          <w:sz w:val="21"/>
        </w:rPr>
        <w:t>Contrôler que la somme des trois effectifs vaut bien 24.</w:t>
      </w:r>
    </w:p>
    <w:p>
      <w:pPr>
        <w:spacing w:after="100"/>
        <w:ind w:left="340"/>
      </w:pPr>
      <w:r>
        <w:rPr>
          <w:rFonts w:ascii="Calibri" w:hAnsi="Calibri"/>
          <w:b/>
          <w:color w:val="2E5C8A"/>
          <w:sz w:val="21"/>
        </w:rPr>
        <w:t xml:space="preserve">Étape 5.  </w:t>
      </w:r>
      <w:r>
        <w:rPr>
          <w:rFonts w:ascii="Calibri" w:hAnsi="Calibri"/>
          <w:sz w:val="21"/>
        </w:rPr>
        <w:t>Chiffrer la chute engendrée, pour vérifier que la remise vaut la matière perdue.</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Retenir la longueur moyenne de chaque groupe comme longueur de commande : une pièce sur deux devient alors trop courte. Le contexte impose un arrondi au supérieur, que le regroupement seul ne fournit pas.</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Prendre la moyenne du groupe comme longueur de commande.</w:t>
      </w:r>
    </w:p>
    <w:p>
      <w:pPr>
        <w:spacing w:after="60"/>
        <w:ind w:left="340"/>
      </w:pPr>
      <w:r>
        <w:rPr>
          <w:rFonts w:ascii="Calibri" w:hAnsi="Calibri"/>
          <w:sz w:val="21"/>
        </w:rPr>
        <w:t>•  Oublier de vérifier que tous les groupes sont non vides.</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Composants de regroupement pour Grasshopper,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Les longueurs du débit du lot A sont réemployées ici dans un autre métier et une autre finalité : c'est la variation de contexte que la recherche sur le transfert recommande, à données constantes.</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L'effectif du groupe le plus fourni valide le REGROUPEMENT, pas son intérêt économique. Trois longueurs de commande peuvent coûter plus cher que quatre selon le barème du fournisseur et la chute engendrée — l'arbitrage est un calcul de coût, pas de comptage.</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Passer à quatre longueurs et comparer la chute totale.</w:t>
      </w:r>
    </w:p>
    <w:p>
      <w:pPr>
        <w:spacing w:after="60"/>
        <w:ind w:left="340"/>
      </w:pPr>
      <w:r>
        <w:rPr>
          <w:rFonts w:ascii="Calibri" w:hAnsi="Calibri"/>
          <w:sz w:val="21"/>
        </w:rPr>
        <w:t>•  Chiffrer le seuil de remise à partir duquel le regroupement devient rentable.</w:t>
      </w:r>
    </w:p>
    <w:p>
      <w:pPr>
        <w:spacing w:before="200" w:after="60"/>
      </w:pPr>
      <w:r>
        <w:rPr>
          <w:rFonts w:ascii="Calibri" w:hAnsi="Calibri"/>
          <w:b/>
          <w:color w:val="444A52"/>
          <w:sz w:val="22"/>
        </w:rPr>
        <w:t>Fichiers de cet exercice</w:t>
      </w:r>
    </w:p>
    <w:p>
      <w:pPr>
        <w:spacing w:after="60"/>
        <w:ind w:left="340"/>
      </w:pPr>
      <w:r>
        <w:rPr>
          <w:rFonts w:ascii="Calibri" w:hAnsi="Calibri"/>
          <w:sz w:val="21"/>
        </w:rPr>
        <w:t>•  IA-10_sujet.gh — énoncé et données de départ, sans le corrigé</w:t>
      </w:r>
    </w:p>
    <w:p>
      <w:pPr>
        <w:spacing w:after="60"/>
        <w:ind w:left="340"/>
      </w:pPr>
      <w:r>
        <w:rPr>
          <w:rFonts w:ascii="Calibri" w:hAnsi="Calibri"/>
          <w:sz w:val="21"/>
        </w:rPr>
        <w:t>•  IA-10_complet.gh — énoncé et corrigé, ce dernier commandé par l'interrupteur</w:t>
      </w:r>
    </w:p>
    <w:p>
      <w:pPr>
        <w:spacing w:after="60"/>
        <w:ind w:left="340"/>
      </w:pPr>
      <w:r>
        <w:rPr>
          <w:rFonts w:ascii="Calibri" w:hAnsi="Calibri"/>
          <w:sz w:val="21"/>
        </w:rPr>
        <w:t>•  IA-10.json — descripteur pour le plugin Magpie</w:t>
      </w:r>
    </w:p>
    <w:p>
      <w:pPr>
        <w:spacing w:after="60"/>
        <w:ind w:left="340"/>
      </w:pPr>
      <w:r>
        <w:rPr>
          <w:rFonts w:ascii="Calibri" w:hAnsi="Calibri"/>
          <w:sz w:val="21"/>
        </w:rPr>
        <w:t>•  IA-10_fiche.docx — la présente fiche</w:t>
      </w:r>
    </w:p>
    <w:p>
      <w:pPr>
        <w:spacing w:after="60"/>
        <w:ind w:left="340"/>
      </w:pPr>
      <w:r>
        <w:rPr>
          <w:rFonts w:ascii="Calibri" w:hAnsi="Calibri"/>
          <w:sz w:val="21"/>
        </w:rPr>
        <w:t>•  IA-10_fiche_sujet.docx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IA-10 — Regrouper un débit pour rationaliser la commande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