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IA-17 — Une commande cachée dans un courriel</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IA6 · Modèles de langage et IA générative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REF-134</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Extraire d'un texte libre les données chiffrées qui engagent, en distinguant ce qui est commandé de ce qui est seulement évoqué.</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Analyser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Perfectionnement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30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IA-11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6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Extraire d'un texte libre les données chiffrées qui engagent, en distinguant ce qui est commandé de ce qui est seulement évoqué.</w:t>
      </w:r>
    </w:p>
    <w:p>
      <w:pPr>
        <w:spacing w:before="200" w:after="60"/>
      </w:pPr>
      <w:r>
        <w:rPr>
          <w:rFonts w:ascii="Calibri" w:hAnsi="Calibri"/>
          <w:b/>
          <w:color w:val="444A52"/>
          <w:sz w:val="22"/>
        </w:rPr>
        <w:t>Contexte</w:t>
      </w:r>
    </w:p>
    <w:p>
      <w:pPr>
        <w:spacing w:before="0" w:after="80"/>
      </w:pPr>
      <w:r>
        <w:rPr>
          <w:rFonts w:ascii="Calibri" w:hAnsi="Calibri"/>
          <w:b w:val="0"/>
          <w:i w:val="0"/>
          <w:sz w:val="21"/>
        </w:rPr>
        <w:t>Le conducteur de travaux commande sa quincaillerie par courriel, en une phrase par ligne et sans tableau. La commande doit en sortir chiffrée.</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Le courriel vous est fourni tel qu'il a été reçu. Donnez le nombre total de pièces réellement commandées.</w:t>
            </w:r>
          </w:p>
        </w:tc>
      </w:tr>
    </w:tbl>
    <w:p>
      <w:pPr>
        <w:spacing w:after="0"/>
      </w:pPr>
    </w:p>
    <w:p>
      <w:pPr>
        <w:spacing w:before="80" w:after="40"/>
        <w:jc w:val="center"/>
      </w:pPr>
      <w:r>
        <w:drawing>
          <wp:inline xmlns:a="http://schemas.openxmlformats.org/drawingml/2006/main" xmlns:pic="http://schemas.openxmlformats.org/drawingml/2006/picture">
            <wp:extent cx="5903999" cy="2028381"/>
            <wp:docPr id="1" name="Picture 1"/>
            <wp:cNvGraphicFramePr>
              <a:graphicFrameLocks noChangeAspect="1"/>
            </wp:cNvGraphicFramePr>
            <a:graphic>
              <a:graphicData uri="http://schemas.openxmlformats.org/drawingml/2006/picture">
                <pic:pic>
                  <pic:nvPicPr>
                    <pic:cNvPr id="0" name="IA-17_canvas_sujet.png"/>
                    <pic:cNvPicPr/>
                  </pic:nvPicPr>
                  <pic:blipFill>
                    <a:blip r:embed="rId10"/>
                    <a:stretch>
                      <a:fillRect/>
                    </a:stretch>
                  </pic:blipFill>
                  <pic:spPr>
                    <a:xfrm>
                      <a:off x="0" y="0"/>
                      <a:ext cx="5903999" cy="2028381"/>
                    </a:xfrm>
                    <a:prstGeom prst="rect"/>
                  </pic:spPr>
                </pic:pic>
              </a:graphicData>
            </a:graphic>
          </wp:inline>
        </w:drawing>
      </w:r>
    </w:p>
    <w:p>
      <w:pPr>
        <w:spacing w:after="160"/>
        <w:jc w:val="center"/>
      </w:pPr>
      <w:r>
        <w:rPr>
          <w:rFonts w:ascii="Calibri" w:hAnsi="Calibri"/>
          <w:i/>
          <w:color w:val="444A52"/>
          <w:sz w:val="18"/>
        </w:rPr>
        <w:t>Le canvas à l'ouverture de IA-17_sujet.gh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Le courriel du conducteur de travaux, en texte libre.</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96 pièces — 24 paumelles, 48 vis, 18 poignées et 6 serrures.</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le total est juste.</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IA-17_complet.gh,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5126714"/>
            <wp:docPr id="2" name="Picture 2"/>
            <wp:cNvGraphicFramePr>
              <a:graphicFrameLocks noChangeAspect="1"/>
            </wp:cNvGraphicFramePr>
            <a:graphic>
              <a:graphicData uri="http://schemas.openxmlformats.org/drawingml/2006/picture">
                <pic:pic>
                  <pic:nvPicPr>
                    <pic:cNvPr id="0" name="IA-17_canvas_corrige.png"/>
                    <pic:cNvPicPr/>
                  </pic:nvPicPr>
                  <pic:blipFill>
                    <a:blip r:embed="rId11"/>
                    <a:stretch>
                      <a:fillRect/>
                    </a:stretch>
                  </pic:blipFill>
                  <pic:spPr>
                    <a:xfrm>
                      <a:off x="0" y="0"/>
                      <a:ext cx="5903999" cy="5126714"/>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Repérer chaque article cité et la quantité qui l'accompagne.</w:t>
      </w:r>
    </w:p>
    <w:p>
      <w:pPr>
        <w:spacing w:after="100"/>
        <w:ind w:left="340"/>
      </w:pPr>
      <w:r>
        <w:rPr>
          <w:rFonts w:ascii="Calibri" w:hAnsi="Calibri"/>
          <w:b/>
          <w:color w:val="2E5C8A"/>
          <w:sz w:val="21"/>
        </w:rPr>
        <w:t xml:space="preserve">Étape 2.  </w:t>
      </w:r>
      <w:r>
        <w:rPr>
          <w:rFonts w:ascii="Calibri" w:hAnsi="Calibri"/>
          <w:sz w:val="21"/>
        </w:rPr>
        <w:t>Convertir les quantités écrites en lettres.</w:t>
      </w:r>
    </w:p>
    <w:p>
      <w:pPr>
        <w:spacing w:after="100"/>
        <w:ind w:left="340"/>
      </w:pPr>
      <w:r>
        <w:rPr>
          <w:rFonts w:ascii="Calibri" w:hAnsi="Calibri"/>
          <w:b/>
          <w:color w:val="2E5C8A"/>
          <w:sz w:val="21"/>
        </w:rPr>
        <w:t xml:space="preserve">Étape 3.  </w:t>
      </w:r>
      <w:r>
        <w:rPr>
          <w:rFonts w:ascii="Calibri" w:hAnsi="Calibri"/>
          <w:sz w:val="21"/>
        </w:rPr>
        <w:t>Repérer les corrections : la dernière valeur annoncée remplace la précédente, elle ne s'y ajoute pas.</w:t>
      </w:r>
    </w:p>
    <w:p>
      <w:pPr>
        <w:spacing w:after="100"/>
        <w:ind w:left="340"/>
      </w:pPr>
      <w:r>
        <w:rPr>
          <w:rFonts w:ascii="Calibri" w:hAnsi="Calibri"/>
          <w:b/>
          <w:color w:val="2E5C8A"/>
          <w:sz w:val="21"/>
        </w:rPr>
        <w:t xml:space="preserve">Étape 4.  </w:t>
      </w:r>
      <w:r>
        <w:rPr>
          <w:rFonts w:ascii="Calibri" w:hAnsi="Calibri"/>
          <w:sz w:val="21"/>
        </w:rPr>
        <w:t>Écarter ce qui n'est pas une commande.</w:t>
      </w:r>
    </w:p>
    <w:p>
      <w:pPr>
        <w:spacing w:after="100"/>
        <w:ind w:left="340"/>
      </w:pPr>
      <w:r>
        <w:rPr>
          <w:rFonts w:ascii="Calibri" w:hAnsi="Calibri"/>
          <w:b/>
          <w:color w:val="2E5C8A"/>
          <w:sz w:val="21"/>
        </w:rPr>
        <w:t xml:space="preserve">Étape 5.  </w:t>
      </w:r>
      <w:r>
        <w:rPr>
          <w:rFonts w:ascii="Calibri" w:hAnsi="Calibri"/>
          <w:sz w:val="21"/>
        </w:rPr>
        <w:t>Sommer.</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Additionner tout ce qui ressemble à une quantité. On obtient alors 138 : les 30 crémones d'une demande de PRIX y sont comptées comme commandées, et les poignées le sont deux fois, à leur valeur annoncée puis à leur valeur corrigée. Une extraction qui ne distingue pas l'intention du chiffre produit une commande fausse — et personne ne relit une commande produite automatiquement.</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Ignorer la quantité écrite en toutes lettres.</w:t>
      </w:r>
    </w:p>
    <w:p>
      <w:pPr>
        <w:spacing w:after="60"/>
        <w:ind w:left="340"/>
      </w:pPr>
      <w:r>
        <w:rPr>
          <w:rFonts w:ascii="Calibri" w:hAnsi="Calibri"/>
          <w:sz w:val="21"/>
        </w:rPr>
        <w:t>•  Additionner la valeur annoncée et sa correction.</w:t>
      </w:r>
    </w:p>
    <w:p>
      <w:pPr>
        <w:spacing w:after="60"/>
        <w:ind w:left="340"/>
      </w:pPr>
      <w:r>
        <w:rPr>
          <w:rFonts w:ascii="Calibri" w:hAnsi="Calibri"/>
          <w:sz w:val="21"/>
        </w:rPr>
        <w:t>•  Commander ce qui faisait l'objet d'une demande de prix.</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Texte, Nombre, Mass Addition, Panel</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Le courriel porte trois pièges distincts, et un seul de chaque sorte : une quantité écrite en toutes lettres (que la lecture naïve ignore, donnant 48), une correction plus bas dans le message (qui invite au double comptage), et une demande de prix (qui invite à commander). Les quatre résultats possibles — 96, 48, 108 et 138 — sont tous distincts, donc chaque erreur se lit sans ambiguïté.</w:t>
      </w:r>
    </w:p>
    <w:p>
      <w:pPr>
        <w:spacing w:before="200" w:after="60"/>
      </w:pPr>
      <w:r>
        <w:rPr>
          <w:rFonts w:ascii="Calibri" w:hAnsi="Calibri"/>
          <w:b/>
          <w:color w:val="444A52"/>
          <w:sz w:val="22"/>
        </w:rPr>
        <w:t>Limite de la correction automatique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L'exercice valide un total, pas la structure extraite. Une extraction juste au total peut avoir mal attribué les quantités : le formateur regarde la table, pas seulement la somme.</w:t>
            </w:r>
          </w:p>
        </w:tc>
      </w:tr>
    </w:tbl>
    <w:p>
      <w:pPr>
        <w:spacing w:after="0"/>
      </w:pPr>
    </w:p>
    <w:p>
      <w:pPr>
        <w:spacing w:before="200" w:after="60"/>
      </w:pPr>
      <w:r>
        <w:rPr>
          <w:rFonts w:ascii="Calibri" w:hAnsi="Calibri"/>
          <w:b/>
          <w:color w:val="444A52"/>
          <w:sz w:val="22"/>
        </w:rPr>
        <w:t>Pour aller plus loin</w:t>
      </w:r>
    </w:p>
    <w:p>
      <w:pPr>
        <w:spacing w:after="60"/>
        <w:ind w:left="340"/>
      </w:pPr>
      <w:r>
        <w:rPr>
          <w:rFonts w:ascii="Calibri" w:hAnsi="Calibri"/>
          <w:sz w:val="21"/>
        </w:rPr>
        <w:t>•  Rendre la table structurée article par article, et non le seul total.</w:t>
      </w:r>
    </w:p>
    <w:p>
      <w:pPr>
        <w:spacing w:after="60"/>
        <w:ind w:left="340"/>
      </w:pPr>
      <w:r>
        <w:rPr>
          <w:rFonts w:ascii="Calibri" w:hAnsi="Calibri"/>
          <w:sz w:val="21"/>
        </w:rPr>
        <w:t>•  Reprendre le même courriel avec deux corrections successives sur le même article.</w:t>
      </w:r>
    </w:p>
    <w:p>
      <w:pPr>
        <w:spacing w:before="200" w:after="60"/>
      </w:pPr>
      <w:r>
        <w:rPr>
          <w:rFonts w:ascii="Calibri" w:hAnsi="Calibri"/>
          <w:b/>
          <w:color w:val="444A52"/>
          <w:sz w:val="22"/>
        </w:rPr>
        <w:t>Fichiers de cet exercice</w:t>
      </w:r>
    </w:p>
    <w:p>
      <w:pPr>
        <w:spacing w:after="60"/>
        <w:ind w:left="340"/>
      </w:pPr>
      <w:r>
        <w:rPr>
          <w:rFonts w:ascii="Calibri" w:hAnsi="Calibri"/>
          <w:sz w:val="21"/>
        </w:rPr>
        <w:t>•  IA-17_sujet.gh — énoncé et données de départ, sans le corrigé</w:t>
      </w:r>
    </w:p>
    <w:p>
      <w:pPr>
        <w:spacing w:after="60"/>
        <w:ind w:left="340"/>
      </w:pPr>
      <w:r>
        <w:rPr>
          <w:rFonts w:ascii="Calibri" w:hAnsi="Calibri"/>
          <w:sz w:val="21"/>
        </w:rPr>
        <w:t>•  IA-17_complet.gh — énoncé et corrigé, ce dernier commandé par l'interrupteur</w:t>
      </w:r>
    </w:p>
    <w:p>
      <w:pPr>
        <w:spacing w:after="60"/>
        <w:ind w:left="340"/>
      </w:pPr>
      <w:r>
        <w:rPr>
          <w:rFonts w:ascii="Calibri" w:hAnsi="Calibri"/>
          <w:sz w:val="21"/>
        </w:rPr>
        <w:t>•  IA-17.json — descripteur pour le plugin Magpie</w:t>
      </w:r>
    </w:p>
    <w:p>
      <w:pPr>
        <w:spacing w:after="60"/>
        <w:ind w:left="340"/>
      </w:pPr>
      <w:r>
        <w:rPr>
          <w:rFonts w:ascii="Calibri" w:hAnsi="Calibri"/>
          <w:sz w:val="21"/>
        </w:rPr>
        <w:t>•  IA-17_fiche.docx — la présente fiche</w:t>
      </w:r>
    </w:p>
    <w:p>
      <w:pPr>
        <w:spacing w:after="60"/>
        <w:ind w:left="340"/>
      </w:pPr>
      <w:r>
        <w:rPr>
          <w:rFonts w:ascii="Calibri" w:hAnsi="Calibri"/>
          <w:sz w:val="21"/>
        </w:rPr>
        <w:t>•  IA-17_fiche_sujet.docx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IA-17 — Une commande cachée dans un courriel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