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IA-19 — Regrouper un débit en trois familles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IA5 · Apprentissage automatique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REF-130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Regrouper des pièces en familles de fabrication et identifier celle qui pèse le plus dans l'organisation de l'atelier.</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IA-10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Regrouper des pièces en familles de fabrication et identifier celle qui pèse le plus dans l'organisation de l'atelier.</w:t>
      </w:r>
    </w:p>
    <w:p>
      <w:pPr>
        <w:spacing w:before="200" w:after="60"/>
      </w:pPr>
      <w:r>
        <w:rPr>
          <w:rFonts w:ascii="Calibri" w:hAnsi="Calibri"/>
          <w:b/>
          <w:color w:val="444A52"/>
          <w:sz w:val="22"/>
        </w:rPr>
        <w:t>Contexte</w:t>
      </w:r>
    </w:p>
    <w:p>
      <w:pPr>
        <w:spacing w:before="0" w:after="80"/>
      </w:pPr>
      <w:r>
        <w:rPr>
          <w:rFonts w:ascii="Calibri" w:hAnsi="Calibri"/>
          <w:b w:val="0"/>
          <w:i w:val="0"/>
          <w:sz w:val="21"/>
        </w:rPr>
        <w:t>L'atelier organise ses postes par famille de format. Le débit arrive en vrac, et c'est la famille la plus fournie qui dimensionne le poste.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Les vingt-quatre longueurs du débit vous sont fournies. Les familles sont : petit sous 300 mm, moyen jusqu'à 900 mm exclus, grand au-delà. Donnez l'effectif de la famille la plus fournie.</w:t>
            </w:r>
          </w:p>
        </w:tc>
      </w:tr>
    </w:tbl>
    <w:p>
      <w:pPr>
        <w:spacing w:after="0"/>
      </w:pPr>
    </w:p>
    <w:p>
      <w:pPr>
        <w:spacing w:before="80" w:after="40"/>
        <w:jc w:val="center"/>
      </w:pPr>
      <w:r>
        <w:drawing>
          <wp:inline xmlns:a="http://schemas.openxmlformats.org/drawingml/2006/main" xmlns:pic="http://schemas.openxmlformats.org/drawingml/2006/picture">
            <wp:extent cx="5903999" cy="3186818"/>
            <wp:docPr id="1" name="Picture 1"/>
            <wp:cNvGraphicFramePr>
              <a:graphicFrameLocks noChangeAspect="1"/>
            </wp:cNvGraphicFramePr>
            <a:graphic>
              <a:graphicData uri="http://schemas.openxmlformats.org/drawingml/2006/picture">
                <pic:pic>
                  <pic:nvPicPr>
                    <pic:cNvPr id="0" name="IA-19_canvas_sujet.png"/>
                    <pic:cNvPicPr/>
                  </pic:nvPicPr>
                  <pic:blipFill>
                    <a:blip r:embed="rId10"/>
                    <a:stretch>
                      <a:fillRect/>
                    </a:stretch>
                  </pic:blipFill>
                  <pic:spPr>
                    <a:xfrm>
                      <a:off x="0" y="0"/>
                      <a:ext cx="5903999" cy="3186818"/>
                    </a:xfrm>
                    <a:prstGeom prst="rect"/>
                  </pic:spPr>
                </pic:pic>
              </a:graphicData>
            </a:graphic>
          </wp:inline>
        </w:drawing>
      </w:r>
    </w:p>
    <w:p>
      <w:pPr>
        <w:spacing w:after="160"/>
        <w:jc w:val="center"/>
      </w:pPr>
      <w:r>
        <w:rPr>
          <w:rFonts w:ascii="Calibri" w:hAnsi="Calibri"/>
          <w:i/>
          <w:color w:val="444A52"/>
          <w:sz w:val="18"/>
        </w:rPr>
        <w:t>Le canvas à l'ouverture de IA-19_sujet.gh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vingt-quatre longueurs, en millimètres, et les deux seuils.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9 pièces — l'effectif de la famille des petits.</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l'effectif de la famille la plus fournie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IA-19_complet.gh,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2942160"/>
            <wp:docPr id="2" name="Picture 2"/>
            <wp:cNvGraphicFramePr>
              <a:graphicFrameLocks noChangeAspect="1"/>
            </wp:cNvGraphicFramePr>
            <a:graphic>
              <a:graphicData uri="http://schemas.openxmlformats.org/drawingml/2006/picture">
                <pic:pic>
                  <pic:nvPicPr>
                    <pic:cNvPr id="0" name="IA-19_canvas_corrige.png"/>
                    <pic:cNvPicPr/>
                  </pic:nvPicPr>
                  <pic:blipFill>
                    <a:blip r:embed="rId11"/>
                    <a:stretch>
                      <a:fillRect/>
                    </a:stretch>
                  </pic:blipFill>
                  <pic:spPr>
                    <a:xfrm>
                      <a:off x="0" y="0"/>
                      <a:ext cx="5903999" cy="2942160"/>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Classer chaque pièce selon les deux seuils.</w:t>
      </w:r>
    </w:p>
    <w:p>
      <w:pPr>
        <w:spacing w:after="100"/>
        <w:ind w:left="340"/>
      </w:pPr>
      <w:r>
        <w:rPr>
          <w:rFonts w:ascii="Calibri" w:hAnsi="Calibri"/>
          <w:b/>
          <w:color w:val="2E5C8A"/>
          <w:sz w:val="21"/>
        </w:rPr>
        <w:t xml:space="preserve">Étape 2.  </w:t>
      </w:r>
      <w:r>
        <w:rPr>
          <w:rFonts w:ascii="Calibri" w:hAnsi="Calibri"/>
          <w:sz w:val="21"/>
        </w:rPr>
        <w:t>Compter chaque famille.</w:t>
      </w:r>
    </w:p>
    <w:p>
      <w:pPr>
        <w:spacing w:after="100"/>
        <w:ind w:left="340"/>
      </w:pPr>
      <w:r>
        <w:rPr>
          <w:rFonts w:ascii="Calibri" w:hAnsi="Calibri"/>
          <w:b/>
          <w:color w:val="2E5C8A"/>
          <w:sz w:val="21"/>
        </w:rPr>
        <w:t xml:space="preserve">Étape 3.  </w:t>
      </w:r>
      <w:r>
        <w:rPr>
          <w:rFonts w:ascii="Calibri" w:hAnsi="Calibri"/>
          <w:sz w:val="21"/>
        </w:rPr>
        <w:t>Prendre le plus grand effectif.</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Rendre le nombre de familles (3), ou l'effectif de la famille des grands, qu'on suppose la plus nombreuse parce qu'elle occupe le plus de place. Les grands sont sept, les moyens huit : c'est la famille des PETITS qui est la plus fournie, et c'est contre-intuitif — la place occupée n'est pas l'effectif.</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Rendre le nombre de familles.</w:t>
      </w:r>
    </w:p>
    <w:p>
      <w:pPr>
        <w:spacing w:after="60"/>
        <w:ind w:left="340"/>
      </w:pPr>
      <w:r>
        <w:rPr>
          <w:rFonts w:ascii="Calibri" w:hAnsi="Calibri"/>
          <w:sz w:val="21"/>
        </w:rPr>
        <w:t>•  Placer mal la borne : « jusqu'à 900 exclus » n'est pas « jusqu'à 900 ».</w:t>
      </w:r>
    </w:p>
    <w:p>
      <w:pPr>
        <w:spacing w:after="60"/>
        <w:ind w:left="340"/>
      </w:pPr>
      <w:r>
        <w:rPr>
          <w:rFonts w:ascii="Calibri" w:hAnsi="Calibri"/>
          <w:sz w:val="21"/>
        </w:rPr>
        <w:t>•  Supposer la réponse au lieu de compter.</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Nombre, Smaller Than, Cull Pattern, List Length, Sort List,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Neuf, huit et sept : les trois effectifs sont proches, de sorte que la réponse ne se devine pas d'un coup d'œil et qu'un comptage approximatif se trompe de famille. Les longueurs vont de 45 à 1 510 mm, l'étendue ordinaire d'un débit de mobilier.</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Les seuils sont donnés. Les TROUVER — c'est-à-dire laisser un regroupement automatique les proposer — est l'étape suivante, et elle demande de juger si les familles obtenues ont un sens pour l'atelier.</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Donner les trois effectifs.</w:t>
      </w:r>
    </w:p>
    <w:p>
      <w:pPr>
        <w:spacing w:after="60"/>
        <w:ind w:left="340"/>
      </w:pPr>
      <w:r>
        <w:rPr>
          <w:rFonts w:ascii="Calibri" w:hAnsi="Calibri"/>
          <w:sz w:val="21"/>
        </w:rPr>
        <w:t>•  Chercher les seuils qui équilibreraient les trois familles.</w:t>
      </w:r>
    </w:p>
    <w:p>
      <w:pPr>
        <w:spacing w:before="200" w:after="60"/>
      </w:pPr>
      <w:r>
        <w:rPr>
          <w:rFonts w:ascii="Calibri" w:hAnsi="Calibri"/>
          <w:b/>
          <w:color w:val="444A52"/>
          <w:sz w:val="22"/>
        </w:rPr>
        <w:t>Fichiers de cet exercice</w:t>
      </w:r>
    </w:p>
    <w:p>
      <w:pPr>
        <w:spacing w:after="60"/>
        <w:ind w:left="340"/>
      </w:pPr>
      <w:r>
        <w:rPr>
          <w:rFonts w:ascii="Calibri" w:hAnsi="Calibri"/>
          <w:sz w:val="21"/>
        </w:rPr>
        <w:t>•  IA-19_sujet.gh — énoncé et données de départ, sans le corrigé</w:t>
      </w:r>
    </w:p>
    <w:p>
      <w:pPr>
        <w:spacing w:after="60"/>
        <w:ind w:left="340"/>
      </w:pPr>
      <w:r>
        <w:rPr>
          <w:rFonts w:ascii="Calibri" w:hAnsi="Calibri"/>
          <w:sz w:val="21"/>
        </w:rPr>
        <w:t>•  IA-19_complet.gh — énoncé et corrigé, ce dernier commandé par l'interrupteur</w:t>
      </w:r>
    </w:p>
    <w:p>
      <w:pPr>
        <w:spacing w:after="60"/>
        <w:ind w:left="340"/>
      </w:pPr>
      <w:r>
        <w:rPr>
          <w:rFonts w:ascii="Calibri" w:hAnsi="Calibri"/>
          <w:sz w:val="21"/>
        </w:rPr>
        <w:t>•  IA-19.json — descripteur pour le plugin Magpie</w:t>
      </w:r>
    </w:p>
    <w:p>
      <w:pPr>
        <w:spacing w:after="60"/>
        <w:ind w:left="340"/>
      </w:pPr>
      <w:r>
        <w:rPr>
          <w:rFonts w:ascii="Calibri" w:hAnsi="Calibri"/>
          <w:sz w:val="21"/>
        </w:rPr>
        <w:t>•  IA-19_fiche.docx — la présente fiche</w:t>
      </w:r>
    </w:p>
    <w:p>
      <w:pPr>
        <w:spacing w:after="60"/>
        <w:ind w:left="340"/>
      </w:pPr>
      <w:r>
        <w:rPr>
          <w:rFonts w:ascii="Calibri" w:hAnsi="Calibri"/>
          <w:sz w:val="21"/>
        </w:rPr>
        <w:t>•  IA-19_fiche_sujet.docx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IA-19 — Regrouper un débit en trois familles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