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QT-05 — Le fichier que le fournisseur va lire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QT3 · Export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REF-086,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fichier d'échange dont la structure est celle qu'attend le destinataire, en-tête comprise, et savoir combien de lignes il doit contenir avant de l'ouvrir.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fichier d'échange dont la structure est celle qu'attend le destinataire, en-tête comprise, et savoir combien de lignes il doit contenir avant de l'ouvrir.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commande part en CSV vers le fournisseur, qui l'importe automatiquement. Un fichier mal structuré n'est pas rejeté : il est importé de travers.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Vous exportez la commande regroupée de l'exercice précédent au format CSV, avec une ligne d'en-tête nommant les colonnes. Donnez le nombre de lignes que le fichier doit contenir.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de vingt-quatre lignes, et la commande regroupée qui en découle.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 — huit références, plus la ligne d'en-tête.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lignes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Reprendre la commande regroupée par référence.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les références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Ajouter la ligne d'en-tête.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Écrire le fichier, et le rouvrir pour vérifier le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Exporter les vingt-quatre lignes du débit (25 avec l'en-tête) ou oublier l'en-tête (8). Le premier fait commander huit références en double ; le second fait lire la première référence comme un nom de colonne, et elle disparaît de la commande.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l'en-tête.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le débit au lieu de la commande.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Employer la virgule comme séparateur alors que les quantités peuvent être décimales.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Create Set, List Length, Addition, Concatenate,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compte attendu — 9 — ne ressemble ni au nombre de lignes du débit (24) ni au nombre de références (8) : les trois erreurs possibles donnent trois valeurs distinctes, donc lisibles.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des lignes ne dit rien du séparateur ni de l'encodage, qui font échouer autant d'imports. La fiche les signale ; l'exercice ne les valide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colonne d'unité et vérifier que le compte des lignes ne change pas.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Exporter la même commande en XLSX et comparer ce que chaque format garantit.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QT-05 — Le fichier que le fournisseur va lire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