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0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 — 380 × 260 × 195 mm hors tout —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0,57 — le facteur limitant vient de la longueur : 220 ÷ 380 vaut 0,5789, arrondi vers le bas au centième.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03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Encadrer la pièce pour obtenir ses trois dimensions hors tout.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disponible sur chacun des trois axes.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petit des trois : c'est lui qui limite.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vers le bas, jamais au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Contrôler, après mise à l'échelle, que la paroi la plus fine reste au-dessus de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facteur au plus proche plutôt qu'au inférieur. À 0,005 près, la pièce dépasse — et la machine s'en aperçoit après trois heures d'impression, pas avant. Le contexte impose le sens de l'arrondi, comme en A-06.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des trois rapports.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mise à l'échelle réduit aussi les parois : une pièce qui rentre peut devenir non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Bounding Box, Deconstruct Brep,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rapports valent 0,579, 0,846 et 1,282 : le troisième axe passerait sans réduction, et prendre la moyenne des trois donnerait 0,90 — une pièce qui ne rentre pas. C'est le plus petit qui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0,57 est le facteur GÉOMÉTRIQUE. Une impression réelle réserve en plus la place des supports et du bord de plateau, et une pièce à 0,57 exactement touche les parois : on descend en pratique un ou deux centièmes plus bas.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pivoter la pièce de 90° et voir si le facteur s'améliore.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marge de 2 mm sur chaque axe et refaire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