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RH-13 — Ce que le fichier contient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REF-006, REF-004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ce qu'un fichier contient de ce qu'il affiche, et compter sur la structure plutôt que sur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ce qu'un fichier contient de ce qu'il affiche, et compter sur la structure plutôt que sur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d'envoyer le fichier, on veut savoir ce qu'il transporte : un calque éteint part quand même, avec tout ce qu'il contient.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calques vous sont fournis avec leur état et le nombre d'objets de chacun. Donnez le nombre d'objets actuellement VISIBLES.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calques : nom, allumé ou éteint, nombre d'objets.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176 objets visibles, sur les 270 que contient le fichier.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objets visibles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Retenir les seuls calques allumés.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 leurs objets.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au total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270, le contenu du fichier. C'est la bonne réponse à une autre question — et c'est justement l'écart entre les deux qui compte : 94 objets, dont d'anciens relevés, partiront chez le destinataire sans que personne les ait vus.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tous les calques.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qu'un calque éteint voyage avec le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Booléen, Nombre, Cull Pattern,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calques allumés sur huit, et les éteints portent un tiers des objets. Les deux réponses — 176 et 270 — sont assez éloignées pour qu'aucune approximation ne les confonde.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objets visibles ne dit rien de leur poids ni de ce qu'ils révèlent. Un calque éteint nommé « anciens relevés » est un problème de confidentialité avant d'être un problème de comptage.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ce que le fichier transporterait après purge des calques éteints.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calques dont le nom seul pose un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RH-13 — Ce que le fichier contient vraiment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