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RH-14 — La trame percée d'une trémie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REF-013, REF-008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éléments d'un réseau régulier dont une zone a été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éléments d'un réseau régulier dont une zone a été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dalle repose sur une trame de plots, sauf à l'aplomb de la trémie d'escalier, où ils sont supprimés.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trame compte huit plots en longueur et six en largeur, au pas de 1 200 mm. La trémie en supprime trois en longueur et deux en largeur.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trame, son pas, et l'emprise de la trémie en nombre de plots.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42 plots — 48 moins les 6 de la trémie.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86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86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la trame complète.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l'emprise de la trémie comme un rectangle.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Soustraire.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Retrancher 3 + 2 = 5 au lieu de 3 × 2 = 6. La trémie retire un RECTANGLE de plots, pas une ligne et une colonne : l'erreur ne se voit pas sur le compte, mais le plot qu'on a oublié de retirer se retrouve au milieu de l'escalier.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deux dimensions de la trémie.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plots.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par six donne un total, 48, qui ne se confond avec aucune des réponses fausses ; et 3 × 2 = 6 se distingue nettement de 3 + 2 = 5, donc 42 de 43.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42 plots suppose la trémie ALIGNÉE sur la trame. Une trémie quelconque coupe des plots en deux : le compte devient une question de calepinage — on décale, on recoupe ou on renonce — et non plus une soustraction.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la position du dernier plot depuis l'origine.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seconde trémie, qui chevauche la première d'un plot.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RH-14 — La trame percée d'une trémie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