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RH-19 — Ce que la mise à l'échelle fait aux détails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RH3 · Préparation à l'impression 3D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REF-017, REF-018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Juger la finesse d'un modèle À L'ÉCHELLE OÙ IL SERA IMPRIMÉ, et non à celle où il a été dessiné.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RH-07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Juger la finesse d'un modèle à l'échelle où il sera imprimé, et non à celle où il a été dessiné.</w:t>
      </w:r>
    </w:p>
    <w:p>
      <w:pPr>
        <w:spacing w:before="200" w:after="60"/>
      </w:pPr>
      <w:r>
        <w:rPr>
          <w:rFonts w:ascii="Calibri" w:hAnsi="Calibri"/>
          <w:b/>
          <w:color w:val="444A52"/>
          <w:sz w:val="22"/>
        </w:rPr>
        <w:t>Contexte</w:t>
      </w:r>
    </w:p>
    <w:p>
      <w:pPr>
        <w:spacing w:before="0" w:after="80"/>
      </w:pPr>
      <w:r>
        <w:rPr>
          <w:rFonts w:ascii="Calibri" w:hAnsi="Calibri"/>
          <w:b w:val="0"/>
          <w:i w:val="0"/>
          <w:sz w:val="21"/>
        </w:rPr>
        <w:t>La maquette d'étude est dessinée au 1:25 et sera imprimée à l'échelle 1. La machine ne distingue rien sous 0,4 mm.</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douze détails les plus fins du modèle vous sont fournis, mesurés sur la maquette. Le modèle sera agrandi 25 fois. Donnez le nombre de détails qui resteront sous la résolution de 0,4 mm APRÈS agrandissement.</w:t>
            </w:r>
          </w:p>
        </w:tc>
      </w:tr>
    </w:tbl>
    <w:p>
      <w:pPr>
        <w:spacing w:after="0"/>
      </w:pPr>
    </w:p>
    <w:p>
      <w:pPr>
        <w:spacing w:before="80" w:after="40"/>
        <w:jc w:val="center"/>
      </w:pPr>
      <w:r>
        <w:drawing>
          <wp:inline xmlns:a="http://schemas.openxmlformats.org/drawingml/2006/main" xmlns:pic="http://schemas.openxmlformats.org/drawingml/2006/picture">
            <wp:extent cx="5903999" cy="2726876"/>
            <wp:docPr id="1" name="Picture 1"/>
            <wp:cNvGraphicFramePr>
              <a:graphicFrameLocks noChangeAspect="1"/>
            </wp:cNvGraphicFramePr>
            <a:graphic>
              <a:graphicData uri="http://schemas.openxmlformats.org/drawingml/2006/picture">
                <pic:pic>
                  <pic:nvPicPr>
                    <pic:cNvPr id="0" name="RH-19_canvas_sujet.png"/>
                    <pic:cNvPicPr/>
                  </pic:nvPicPr>
                  <pic:blipFill>
                    <a:blip r:embed="rId10"/>
                    <a:stretch>
                      <a:fillRect/>
                    </a:stretch>
                  </pic:blipFill>
                  <pic:spPr>
                    <a:xfrm>
                      <a:off x="0" y="0"/>
                      <a:ext cx="5903999" cy="2726876"/>
                    </a:xfrm>
                    <a:prstGeom prst="rect"/>
                  </pic:spPr>
                </pic:pic>
              </a:graphicData>
            </a:graphic>
          </wp:inline>
        </w:drawing>
      </w:r>
    </w:p>
    <w:p>
      <w:pPr>
        <w:spacing w:after="160"/>
        <w:jc w:val="center"/>
      </w:pPr>
      <w:r>
        <w:rPr>
          <w:rFonts w:ascii="Calibri" w:hAnsi="Calibri"/>
          <w:i/>
          <w:color w:val="444A52"/>
          <w:sz w:val="18"/>
        </w:rPr>
        <w:t>Le canvas à l'ouverture de RH-19_sujet.gh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douze dimensions relevées sur la maquette, le facteur d'agrandissement et la résolution de la machine.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6 détails restent sous la résolution après agrandissement.</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compte après agrandissement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RH-19_complet.gh,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111176"/>
            <wp:docPr id="2" name="Picture 2"/>
            <wp:cNvGraphicFramePr>
              <a:graphicFrameLocks noChangeAspect="1"/>
            </wp:cNvGraphicFramePr>
            <a:graphic>
              <a:graphicData uri="http://schemas.openxmlformats.org/drawingml/2006/picture">
                <pic:pic>
                  <pic:nvPicPr>
                    <pic:cNvPr id="0" name="RH-19_canvas_corrige.png"/>
                    <pic:cNvPicPr/>
                  </pic:nvPicPr>
                  <pic:blipFill>
                    <a:blip r:embed="rId11"/>
                    <a:stretch>
                      <a:fillRect/>
                    </a:stretch>
                  </pic:blipFill>
                  <pic:spPr>
                    <a:xfrm>
                      <a:off x="0" y="0"/>
                      <a:ext cx="5903999" cy="3111176"/>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Appliquer le facteur d'échelle à chaque détail.</w:t>
      </w:r>
    </w:p>
    <w:p>
      <w:pPr>
        <w:spacing w:after="100"/>
        <w:ind w:left="340"/>
      </w:pPr>
      <w:r>
        <w:rPr>
          <w:rFonts w:ascii="Calibri" w:hAnsi="Calibri"/>
          <w:b/>
          <w:color w:val="2E5C8A"/>
          <w:sz w:val="21"/>
        </w:rPr>
        <w:t xml:space="preserve">Étape 2.  </w:t>
      </w:r>
      <w:r>
        <w:rPr>
          <w:rFonts w:ascii="Calibri" w:hAnsi="Calibri"/>
          <w:sz w:val="21"/>
        </w:rPr>
        <w:t>Comparer ensuite à la résolution de la machine.</w:t>
      </w:r>
    </w:p>
    <w:p>
      <w:pPr>
        <w:spacing w:after="100"/>
        <w:ind w:left="340"/>
      </w:pPr>
      <w:r>
        <w:rPr>
          <w:rFonts w:ascii="Calibri" w:hAnsi="Calibri"/>
          <w:b/>
          <w:color w:val="2E5C8A"/>
          <w:sz w:val="21"/>
        </w:rPr>
        <w:t xml:space="preserve">Étape 3.  </w:t>
      </w:r>
      <w:r>
        <w:rPr>
          <w:rFonts w:ascii="Calibri" w:hAnsi="Calibri"/>
          <w:sz w:val="21"/>
        </w:rPr>
        <w:t>Compter.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Juger avant l'agrandissement : les douze détails sont alors sous 0,4 mm, et l'on conclut que rien n'est imprimable. L'agrandissement en sauve la moitié — refaire toute la maquette pour rien est une décision coûteuse fondée sur une comparaison faite à la mauvaise échelle.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Comparer avant d'agrandir.</w:t>
      </w:r>
    </w:p>
    <w:p>
      <w:pPr>
        <w:spacing w:after="60"/>
        <w:ind w:left="340"/>
      </w:pPr>
      <w:r>
        <w:rPr>
          <w:rFonts w:ascii="Calibri" w:hAnsi="Calibri"/>
          <w:sz w:val="21"/>
        </w:rPr>
        <w:t>•  Oublier que la tolérance du document, elle aussi, suit l'échelle.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Multiplication, Smaller Than, Cull Pattern, List Length,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douze détails sont tous sous la résolution avant agrandissement et six seulement après : les deux réponses, 12 et 6, sont dans un rapport de deux, et la première est aussi le nombre total de détails — ce qui la rend immédiatement suspecte à qui la relit.</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Six détails passent sous la résolution APRÈS agrandissement. Le compte est géométrique : il ne dit pas si ces détails comptent. Un congé perdu est sans conséquence, un jeu fonctionnel perdu bloque l'assemblage, et c'est le concepteur qui fait la différence.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Trouver le facteur minimal qui sauve tous les détails.</w:t>
      </w:r>
    </w:p>
    <w:p>
      <w:pPr>
        <w:spacing w:after="60"/>
        <w:ind w:left="340"/>
      </w:pPr>
      <w:r>
        <w:rPr>
          <w:rFonts w:ascii="Calibri" w:hAnsi="Calibri"/>
          <w:sz w:val="21"/>
        </w:rPr>
        <w:t>•  Reprendre avec une machine à 0,2 mm de résolution.</w:t>
      </w:r>
    </w:p>
    <w:p>
      <w:pPr>
        <w:spacing w:before="200" w:after="60"/>
      </w:pPr>
      <w:r>
        <w:rPr>
          <w:rFonts w:ascii="Calibri" w:hAnsi="Calibri"/>
          <w:b/>
          <w:color w:val="444A52"/>
          <w:sz w:val="22"/>
        </w:rPr>
        <w:t>Fichiers de cet exercice</w:t>
      </w:r>
    </w:p>
    <w:p>
      <w:pPr>
        <w:spacing w:after="60"/>
        <w:ind w:left="340"/>
      </w:pPr>
      <w:r>
        <w:rPr>
          <w:rFonts w:ascii="Calibri" w:hAnsi="Calibri"/>
          <w:sz w:val="21"/>
        </w:rPr>
        <w:t>•  RH-19_sujet.gh — énoncé et données de départ, sans le corrigé</w:t>
      </w:r>
    </w:p>
    <w:p>
      <w:pPr>
        <w:spacing w:after="60"/>
        <w:ind w:left="340"/>
      </w:pPr>
      <w:r>
        <w:rPr>
          <w:rFonts w:ascii="Calibri" w:hAnsi="Calibri"/>
          <w:sz w:val="21"/>
        </w:rPr>
        <w:t>•  RH-19_complet.gh — énoncé et corrigé, ce dernier commandé par l'interrupteur</w:t>
      </w:r>
    </w:p>
    <w:p>
      <w:pPr>
        <w:spacing w:after="60"/>
        <w:ind w:left="340"/>
      </w:pPr>
      <w:r>
        <w:rPr>
          <w:rFonts w:ascii="Calibri" w:hAnsi="Calibri"/>
          <w:sz w:val="21"/>
        </w:rPr>
        <w:t>•  RH-19.json — descripteur pour le plugin Magpie</w:t>
      </w:r>
    </w:p>
    <w:p>
      <w:pPr>
        <w:spacing w:after="60"/>
        <w:ind w:left="340"/>
      </w:pPr>
      <w:r>
        <w:rPr>
          <w:rFonts w:ascii="Calibri" w:hAnsi="Calibri"/>
          <w:sz w:val="21"/>
        </w:rPr>
        <w:t>•  RH-19_fiche.docx — la présente fiche</w:t>
      </w:r>
    </w:p>
    <w:p>
      <w:pPr>
        <w:spacing w:after="60"/>
        <w:ind w:left="340"/>
      </w:pPr>
      <w:r>
        <w:rPr>
          <w:rFonts w:ascii="Calibri" w:hAnsi="Calibri"/>
          <w:sz w:val="21"/>
        </w:rPr>
        <w:t>•  RH-19_fiche_sujet.docx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RH-19 — Ce que la mise à l'échelle fait aux détails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