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RH-20 — Un maillage est-il fermé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REF-019, REF-020, REF-021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par le calcul qu'un maillage est ouvert, et de combien, sans se fier à son apparence.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par le calcul qu'un maillage est ouvert, et de combien, sans se fier à son apparence.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maillage part à l'impression. À l'écran, il paraît parfaitement fermé — c'est toujours le cas.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maillage compte 2 960 faces triangulaires et 4 434 arêtes. Donnez le nombre d'arêtes nues.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faces triangulaires et le nombre d'arêtes.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arêtes nues.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d'arêtes nues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RH-20 — Un maillage est-il fermé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