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WB-03 — Rhino sans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REF-111, 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application métier doit exploiter la géométrie de Rhino sans que l'utilisateur ouvre Rhino.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voulez faire tourner une définition Grasshopper depuis une application web, sans interface Rhino. Que cherchez-vous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Rhino.Compute, qui expose le moteur de calcul comme un service appelable à distance.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Rhino.Inside, qui charge Rhino dans un autre logiciel hôte.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export en maillage, qui suffit toujours.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deux font la même chose.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(d) confondent deux réponses à deux besoins différents — Rhino.Inside fait cohabiter Rhino avec Revit ou AutoCAD sur le même poste ; Rhino.Compute met le moteur au bout d'un appel réseau. Se tromper de l'un pour l'autre fait partir sur une architecture entière qu'il faudra défaire.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WB-03_complet.gh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WB-03 — Rhino sans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