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WB-04 — Ce qu'on expose, et ce qu'on cache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WB1 · Interfaces utilisateur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REF-107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Distinguer, parmi les entrées d'une définition, celles qui relèvent d'un choix de l'utilisateur de celles qui se déduisent ou qui règlent l'outil.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Distinguer, parmi les entrées d'une définition, celles qui relèvent d'un choix de l'utilisateur de celles qui se déduisent ou qui règlent l'outil.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définition va être pilotée depuis Rhino par quelqu'un qui n'ouvrira jamais le graphe. Tout ce qu'on expose, il faudra le lui expliquer ; tout ce qu'on cache, il ne pourra plus le régler.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définition du meuble compte quatorze entrées, décrites une à une avec ce qu'elles commandent et ce dont elles dépendent. Donnez le nombre d'entrées à exposer dans l'interface.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0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WB-04_sujet.gh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liste des quatorze entrées et leur description.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 — les six entrées qui relèvent d'un choix du client.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WB-04 — Ce qu'on expose, et ce qu'on cache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