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WB-06 — Le poids du modèle que l'on télécharge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Prévoir le poids d'un fichier d'échange à partir de la structure du maillage exporté, avant de le proposer au téléchargement.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Prévoir le poids d'un fichier d'échange à partir de la structure du maillage exporté, avant de le proposer au téléchargement.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propose le téléchargement du modèle. Le fichier part souvent sur une connexion mobile : son poids se prévoit avant de le produire, pas après.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d'aperçu compte 24 310 faces quadrangulaires. Vous l'exportez dans un format binaire qui ne stocke que des triangles, avec un en-tête de 84 octets et 50 octets par facette. Donnez le poids du fichier, en octets.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91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9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du maillage, leur nature, et la structure du format d'export.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2 431 084 octets — soit 2,32 Mio.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poids en octets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WB-06 — Le poids du modèle que l'on télécharge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