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WB-09 — Ce que le format transporte, et ce qu'il perd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WB3 · Interopérabilité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REF-158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Choisir un format d'échange sur ce qu'il transporte réellement, et non sur le fait que le fichier s'ouvre.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Choisir un format d'échange sur ce qu'il transporte réellement, et non sur le fait que le fichier s'ouvre.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modèle part chez le bureau d'études, qui a besoin des courbes, des calques et des unités. Un fichier qui s'ouvre n'est pas un échange réussi.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tableau des six formats vous est fourni, avec ce que chacun transporte. L'échange exige la géométrie, les unités, les calques et les courbes. Donnez le nombre de formats qui conviennent.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933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33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WB-09_sujet.gh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six formats et, pour chacun, ce qu'il transporte.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 formats répondent aux quatre exigences.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des formats convenables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WB-09_complet.gh,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0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-09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0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Ne retenir que les colonnes exigées par l'échange.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Pour chaque format, exiger qu'elles soient TOUTES vraies.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Compter.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Retenir tout format qui transporte la géométrie : les six conviennent alors. Le fichier s'ouvrira, la forme sera là, et le bureau d'études redemandera les calques et les unités — c'est-à-dire la moitié du travail de mise en ordre.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Se contenter de la géométrie.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Traiter la liste des exigences comme un « au moins un ».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Booléen, Gate And, Cull Pattern,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Six formats, dont trois répondent aux quatre exigences et deux échouent sur un seul critère. Les réponses fausses plausibles — 6 si l'on ne regarde que la géométrie, 5 si l'on oublie les courbes — sont distinctes de 3.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tableau dit ce que le format PEUT porter. Ce qu'il porte effectivement dépend aussi de l'exportateur et de l'importateur — deux logiciels qui parlent le même format peuvent ne pas s'entendre.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Nommer les formats écartés et le critère qui les écarte.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Refaire le choix pour un échange qui exigerait les matières.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WB-09_sujet.gh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WB-09_complet.gh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WB-09.json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WB-09_fiche.docx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WB-09_fiche_sujet.docx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WB-09 — Ce que le format transporte, et ce qu'il perd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