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G-02 — La barre de progression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G1 · Progression et récompense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REF-062, REF-063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Construire cinq primitives distinctes et mesurer l'ensemble qu'elles forment, chaque forme étant un jalon.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Découper une tâche en jalons visibles pour soutenir l'effort.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barre de progression soutient l'effort en découpant une tâche longue en jalons visibles. Sans elle, cinq formes à poser se vivent comme une seule tâche qui n'avance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Reconstitue le logo en 5 étapes. Chaque forme correctement placée fait progresser la barre de 20 %. La barre passe au vert à 100 %.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14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14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gabarit du logo en filigrane et une barre de progression pré-câblée.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1 372,74 mm — la somme des cinq périmètres,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20 % par forme, validation à 100 %.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G-02 — La barre de progression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