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G-10 — Le coffre à butin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G2 · Exploration et découverte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REF-068, REF-045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Identifier les extrêmes d'un jeu de valeurs et en rendre les INDEX plutôt que les valeurs.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14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A-14, A-39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SetEquality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Introduire une part d'aléatoire maîtrisé pour renouveler l'intérêt.</w:t>
      </w:r>
    </w:p>
    <w:p>
      <w:pPr>
        <w:spacing w:before="200" w:after="60"/>
      </w:pPr>
      <w:r>
        <w:rPr>
          <w:rFonts w:ascii="Calibri" w:hAnsi="Calibri"/>
          <w:b/>
          <w:color w:val="444A52"/>
          <w:sz w:val="22"/>
        </w:rPr>
        <w:t>Contexte</w:t>
      </w:r>
    </w:p>
    <w:p>
      <w:pPr>
        <w:spacing w:before="0" w:after="80"/>
      </w:pPr>
      <w:r>
        <w:rPr>
          <w:rFonts w:ascii="Calibri" w:hAnsi="Calibri"/>
          <w:b w:val="0"/>
          <w:i w:val="0"/>
          <w:sz w:val="21"/>
        </w:rPr>
        <w:t>Le coffre à butin introduit une part d'aléatoire maîtrisé : le contenu change à chaque tirage, la méthode pour le trouver non. C'est ce qui permet de rejouer l'exercice.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Vingt coffres sont disposés en trame. Trois contiennent une récompense, désignés par le tirage aléatoire de graine 7. Identifie-les et affiche leurs index.</w:t>
            </w:r>
          </w:p>
        </w:tc>
      </w:tr>
    </w:tbl>
    <w:p>
      <w:pPr>
        <w:spacing w:after="0"/>
      </w:pPr>
    </w:p>
    <w:p>
      <w:pPr>
        <w:spacing w:before="80" w:after="40"/>
        <w:jc w:val="center"/>
      </w:pPr>
      <w:r>
        <w:drawing>
          <wp:inline xmlns:a="http://schemas.openxmlformats.org/drawingml/2006/main" xmlns:pic="http://schemas.openxmlformats.org/drawingml/2006/picture">
            <wp:extent cx="5903999" cy="1535243"/>
            <wp:docPr id="1" name="Picture 1"/>
            <wp:cNvGraphicFramePr>
              <a:graphicFrameLocks noChangeAspect="1"/>
            </wp:cNvGraphicFramePr>
            <a:graphic>
              <a:graphicData uri="http://schemas.openxmlformats.org/drawingml/2006/picture">
                <pic:pic>
                  <pic:nvPicPr>
                    <pic:cNvPr id="0" name="G-10_canvas_sujet.png"/>
                    <pic:cNvPicPr/>
                  </pic:nvPicPr>
                  <pic:blipFill>
                    <a:blip r:embed="rId10"/>
                    <a:stretch>
                      <a:fillRect/>
                    </a:stretch>
                  </pic:blipFill>
                  <pic:spPr>
                    <a:xfrm>
                      <a:off x="0" y="0"/>
                      <a:ext cx="5903999" cy="1535243"/>
                    </a:xfrm>
                    <a:prstGeom prst="rect"/>
                  </pic:spPr>
                </pic:pic>
              </a:graphicData>
            </a:graphic>
          </wp:inline>
        </w:drawing>
      </w:r>
    </w:p>
    <w:p>
      <w:pPr>
        <w:spacing w:after="160"/>
        <w:jc w:val="center"/>
      </w:pPr>
      <w:r>
        <w:rPr>
          <w:rFonts w:ascii="Calibri" w:hAnsi="Calibri"/>
          <w:i/>
          <w:color w:val="444A52"/>
          <w:sz w:val="18"/>
        </w:rPr>
        <w:t>Le canvas à l'ouverture de G-10_sujet.gh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trame de 20 positions et un Random de graine imposée.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Les index des trois coffres pleins : 7, 13, 16.</w:t>
      </w:r>
    </w:p>
    <w:p>
      <w:pPr>
        <w:spacing w:before="0" w:after="80"/>
      </w:pPr>
      <w:r>
        <w:rPr>
          <w:rFonts w:ascii="Calibri" w:hAnsi="Calibri"/>
          <w:b w:val="0"/>
          <w:i/>
          <w:sz w:val="21"/>
        </w:rPr>
        <w:t>Branchez votre résultat sur le paramètre REPONSE. La correction compare cette sortie en mode SetEquality.</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3 points, 1 par coffre correctement identifié.</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G-10_complet.gh,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643199"/>
            <wp:docPr id="2" name="Picture 2"/>
            <wp:cNvGraphicFramePr>
              <a:graphicFrameLocks noChangeAspect="1"/>
            </wp:cNvGraphicFramePr>
            <a:graphic>
              <a:graphicData uri="http://schemas.openxmlformats.org/drawingml/2006/picture">
                <pic:pic>
                  <pic:nvPicPr>
                    <pic:cNvPr id="0" name="G-10_canvas_corrige.png"/>
                    <pic:cNvPicPr/>
                  </pic:nvPicPr>
                  <pic:blipFill>
                    <a:blip r:embed="rId11"/>
                    <a:stretch>
                      <a:fillRect/>
                    </a:stretch>
                  </pic:blipFill>
                  <pic:spPr>
                    <a:xfrm>
                      <a:off x="0" y="0"/>
                      <a:ext cx="5903999" cy="36431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Random avec Seed = 7 et Number = 3 dans le domaine 0 à 19.</w:t>
      </w:r>
    </w:p>
    <w:p>
      <w:pPr>
        <w:spacing w:after="100"/>
        <w:ind w:left="340"/>
      </w:pPr>
      <w:r>
        <w:rPr>
          <w:rFonts w:ascii="Calibri" w:hAnsi="Calibri"/>
          <w:b/>
          <w:color w:val="2E5C8A"/>
          <w:sz w:val="21"/>
        </w:rPr>
        <w:t xml:space="preserve">Étape 2.  </w:t>
      </w:r>
      <w:r>
        <w:rPr>
          <w:rFonts w:ascii="Calibri" w:hAnsi="Calibri"/>
          <w:sz w:val="21"/>
        </w:rPr>
        <w:t>Arrondir les valeurs avec Round pour obtenir des index entiers.</w:t>
      </w:r>
    </w:p>
    <w:p>
      <w:pPr>
        <w:spacing w:after="100"/>
        <w:ind w:left="340"/>
      </w:pPr>
      <w:r>
        <w:rPr>
          <w:rFonts w:ascii="Calibri" w:hAnsi="Calibri"/>
          <w:b/>
          <w:color w:val="2E5C8A"/>
          <w:sz w:val="21"/>
        </w:rPr>
        <w:t xml:space="preserve">Étape 3.  </w:t>
      </w:r>
      <w:r>
        <w:rPr>
          <w:rFonts w:ascii="Calibri" w:hAnsi="Calibri"/>
          <w:sz w:val="21"/>
        </w:rPr>
        <w:t>Poser List Item ou Cull Index pour marquer les coffres correspondants.</w:t>
      </w:r>
    </w:p>
    <w:p>
      <w:pPr>
        <w:spacing w:after="100"/>
        <w:ind w:left="340"/>
      </w:pPr>
      <w:r>
        <w:rPr>
          <w:rFonts w:ascii="Calibri" w:hAnsi="Calibri"/>
          <w:b/>
          <w:color w:val="2E5C8A"/>
          <w:sz w:val="21"/>
        </w:rPr>
        <w:t xml:space="preserve">Étape 4.  </w:t>
      </w:r>
      <w:r>
        <w:rPr>
          <w:rFonts w:ascii="Calibri" w:hAnsi="Calibri"/>
          <w:sz w:val="21"/>
        </w:rPr>
        <w:t>Afficher les index dans un Panel.</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Rendre les valeurs — 87, 95, 93 — au lieu des index. Un index désigne une POSITION ; c'est lui qui permet ensuite d'aller chercher le coffre correspondant dans la trame, et les deux sont ici du même ordre de grandeur, ce qui rend la confusion invisible au premier regard.</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Changer la graine : le résultat ne correspond plus à l'attendu.</w:t>
      </w:r>
    </w:p>
    <w:p>
      <w:pPr>
        <w:spacing w:after="60"/>
        <w:ind w:left="340"/>
      </w:pPr>
      <w:r>
        <w:rPr>
          <w:rFonts w:ascii="Calibri" w:hAnsi="Calibri"/>
          <w:sz w:val="21"/>
        </w:rPr>
        <w:t>•  Random produit des décimales : sans arrondi les index sont invalides.</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Random, Jitter, Cull Pattern, Rectangular Array, Sphere</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Vingt contenus de 10 à 99. Les trois plus riches — 95, 93 et 87 — sont nettement détachés du quatrième (86), de sorte que le seuil ne prête pas à discussion. Aucun ex æquo : l'ensemble des trois index est unique.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L'aléatoire est FIGÉ par la graine. Deux apprenants trouvent les mêmes coffres, ce qui rend l'exercice corrigeable mais retire au loot box sa surprise dès la deuxième session.</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Récompense de rareté variable.</w:t>
      </w:r>
    </w:p>
    <w:p>
      <w:pPr>
        <w:spacing w:after="60"/>
        <w:ind w:left="340"/>
      </w:pPr>
      <w:r>
        <w:rPr>
          <w:rFonts w:ascii="Calibri" w:hAnsi="Calibri"/>
          <w:sz w:val="21"/>
        </w:rPr>
        <w:t>•  Coffre à ouvrir en résolvant une énigme.</w:t>
      </w:r>
    </w:p>
    <w:p>
      <w:pPr>
        <w:spacing w:before="200" w:after="60"/>
      </w:pPr>
      <w:r>
        <w:rPr>
          <w:rFonts w:ascii="Calibri" w:hAnsi="Calibri"/>
          <w:b/>
          <w:color w:val="444A52"/>
          <w:sz w:val="22"/>
        </w:rPr>
        <w:t>Fichiers de cet exercice</w:t>
      </w:r>
    </w:p>
    <w:p>
      <w:pPr>
        <w:spacing w:after="60"/>
        <w:ind w:left="340"/>
      </w:pPr>
      <w:r>
        <w:rPr>
          <w:rFonts w:ascii="Calibri" w:hAnsi="Calibri"/>
          <w:sz w:val="21"/>
        </w:rPr>
        <w:t>•  G-10_sujet.gh — énoncé et données de départ, sans le corrigé</w:t>
      </w:r>
    </w:p>
    <w:p>
      <w:pPr>
        <w:spacing w:after="60"/>
        <w:ind w:left="340"/>
      </w:pPr>
      <w:r>
        <w:rPr>
          <w:rFonts w:ascii="Calibri" w:hAnsi="Calibri"/>
          <w:sz w:val="21"/>
        </w:rPr>
        <w:t>•  G-10_complet.gh — énoncé et corrigé, ce dernier commandé par l'interrupteur</w:t>
      </w:r>
    </w:p>
    <w:p>
      <w:pPr>
        <w:spacing w:after="60"/>
        <w:ind w:left="340"/>
      </w:pPr>
      <w:r>
        <w:rPr>
          <w:rFonts w:ascii="Calibri" w:hAnsi="Calibri"/>
          <w:sz w:val="21"/>
        </w:rPr>
        <w:t>•  G-10.json — descripteur pour le plugin Magpie</w:t>
      </w:r>
    </w:p>
    <w:p>
      <w:pPr>
        <w:spacing w:after="60"/>
        <w:ind w:left="340"/>
      </w:pPr>
      <w:r>
        <w:rPr>
          <w:rFonts w:ascii="Calibri" w:hAnsi="Calibri"/>
          <w:sz w:val="21"/>
        </w:rPr>
        <w:t>•  G-10_fiche.docx — la présente fiche</w:t>
      </w:r>
    </w:p>
    <w:p>
      <w:pPr>
        <w:spacing w:after="60"/>
        <w:ind w:left="340"/>
      </w:pPr>
      <w:r>
        <w:rPr>
          <w:rFonts w:ascii="Calibri" w:hAnsi="Calibri"/>
          <w:sz w:val="21"/>
        </w:rPr>
        <w:t>•  G-10_fiche_sujet.docx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G-10 — Le coffre à butin · v0.4-260901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