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GP-03 — Un maillage qu'on peut imprimer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GP4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REF-074, REF-075, REF-076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maillage à partir d'une surface, en maîtriser la finesse, et le rendre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maillage à partir d'une surface, en maîtriser la finesse, et le rendre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de forme libre part en impression : le trancheur n'accepte qu'un maillage fermé, et la finesse décide de la qualité comme du poids du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surface fournie doit devenir un maillage fermé dont l'écart à la surface d'origine ne dépasse nulle part 0,2 mm. Donnez le nombre de faces du maillage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contenant la surface fermée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1 024 faces avec les réglages par défaut du mailleur — la correction accepte 5 % autour de cette valeur.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l'écart maximal est respecté et le maillage fermé.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962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9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Mailler la surface en fixant l'écart maximal, non la densité.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que le maillage est fermé et sans face dégénérée.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Réparer les jonctions si le maillage sort en morceaux.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Compter les faces.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le poids du fichier exporté : c'est la contrepartie directe de la finesse.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Augmenter la densité jusqu'à ce que « ça ait l'air bien ». L'écart maximal est un réglage explicite : à l'œil, on produit soit un maillage grossier qui passe pour lisse à l'écran, soit un maillage inutilement lourd.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Régler la densité au lieu de l'écart : le résultat n'est plus contrôlable.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Maillage en plusieurs morceaux non joints : il paraît fermé et ne l'est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Mesh Brep, Mesh Join, Face Count,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présente une zone de forte courbure et une zone plane : un maillage à densité uniforme y est toujours mauvais quelque part, ce qui oblige à passer par le critère d'écart.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corrigé maille avec les réglages PAR DÉFAUT, et rend 1 024 faces. Il ne pilote pas l'écart maximal : ce réglage se pose dans la boîte de dialogue de maillage et ne se transporte pas dans le fichier. Le corrigé sert donc d'ordre de grandeur ; c'est au formateur de vérifier que l'apprenant a bien raisonné en écart et non en densité.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Doubler l'écart admis et mesurer le gain en nombre de faces.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Lisser le maillage et vérifier ce que le lissage fait à l'écart.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GP-03 — Un maillage qu'on peut imprimer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