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GP-04 — SubD ou NURBS ?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GP4 · Maillages et SubD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REF-077, REF-078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poignée de meuble doit être dessinée en forme libre, puis usinée.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devez dessiner une poignée de forme libre, qui sera ensuite usinée à partir d'un modèle exact. Par quoi commencez-vous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Directement en NURBS, puisque c'est ce qu'il faut à la fin.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En maillage, plus simple à déformer.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Peu importe, les trois sont équivalents.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En SubD pour la recherche de forme, converti en NURBS pour l'usinage. ← réponse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le réflexe de qui connaît la contrainte de sortie et pas les outils de forme — on y passe un temps considérable à recaler des points de contrôle. (b) donne une forme facile à modeler et impossible à usiner proprement. La bonne réponse tient à ce que SubD et NURBS ne s'opposent pas : l'un sert la conception, l'autre la fabrication, et la conversion est prévue pour.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GP-04_complet.gh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4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GP-04 — SubD ou NURBS ?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