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GP-13 — La pièce qui enchaîne trois opérations</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GP2 · Synthèse géométrie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REF-073, REF-147, REF-148</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Ordonner congé, perçage et épaississement de sorte que chaque opération reçoive ce dont elle a besoin.</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Créer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22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GP-11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NumericTolerance — tolérance 0.0001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11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Ordonner congé, perçage et épaississement de sorte que chaque opération reçoive ce dont elle a besoin.</w:t>
      </w:r>
    </w:p>
    <w:p>
      <w:pPr>
        <w:spacing w:before="200" w:after="60"/>
      </w:pPr>
      <w:r>
        <w:rPr>
          <w:rFonts w:ascii="Calibri" w:hAnsi="Calibri"/>
          <w:b/>
          <w:color w:val="444A52"/>
          <w:sz w:val="22"/>
        </w:rPr>
        <w:t>Contexte</w:t>
      </w:r>
    </w:p>
    <w:p>
      <w:pPr>
        <w:spacing w:before="0" w:after="80"/>
      </w:pPr>
      <w:r>
        <w:rPr>
          <w:rFonts w:ascii="Calibri" w:hAnsi="Calibri"/>
          <w:b w:val="0"/>
          <w:i w:val="0"/>
          <w:sz w:val="21"/>
        </w:rPr>
        <w:t>Une platine de fixation se dessine à plat, se congé, se perce, puis s'épaissit. L'ordre n'est pas indifférent : épaissir d'abord oblige à percer un solide.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La platine mesure 420 × 260 mm, ses quatre angles portent un congé de 35 mm de rayon, et elle reçoit sept perçages de 26 mm de diamètre. Elle fait 18 mm d'épaisseur. Donnez son volume, en décimètres cubes.</w:t>
            </w:r>
          </w:p>
        </w:tc>
      </w:tr>
    </w:tbl>
    <w:p>
      <w:pPr>
        <w:spacing w:after="0"/>
      </w:pPr>
    </w:p>
    <w:p>
      <w:pPr>
        <w:spacing w:before="80" w:after="40"/>
        <w:jc w:val="center"/>
      </w:pPr>
      <w:r>
        <w:drawing>
          <wp:inline xmlns:a="http://schemas.openxmlformats.org/drawingml/2006/main" xmlns:pic="http://schemas.openxmlformats.org/drawingml/2006/picture">
            <wp:extent cx="5903999" cy="2447197"/>
            <wp:docPr id="1" name="Picture 1"/>
            <wp:cNvGraphicFramePr>
              <a:graphicFrameLocks noChangeAspect="1"/>
            </wp:cNvGraphicFramePr>
            <a:graphic>
              <a:graphicData uri="http://schemas.openxmlformats.org/drawingml/2006/picture">
                <pic:pic>
                  <pic:nvPicPr>
                    <pic:cNvPr id="0" name="GP-13_canvas_sujet.png"/>
                    <pic:cNvPicPr/>
                  </pic:nvPicPr>
                  <pic:blipFill>
                    <a:blip r:embed="rId10"/>
                    <a:stretch>
                      <a:fillRect/>
                    </a:stretch>
                  </pic:blipFill>
                  <pic:spPr>
                    <a:xfrm>
                      <a:off x="0" y="0"/>
                      <a:ext cx="5903999" cy="2447197"/>
                    </a:xfrm>
                    <a:prstGeom prst="rect"/>
                  </pic:spPr>
                </pic:pic>
              </a:graphicData>
            </a:graphic>
          </wp:inline>
        </w:drawing>
      </w:r>
    </w:p>
    <w:p>
      <w:pPr>
        <w:spacing w:after="160"/>
        <w:jc w:val="center"/>
      </w:pPr>
      <w:r>
        <w:rPr>
          <w:rFonts w:ascii="Calibri" w:hAnsi="Calibri"/>
          <w:i/>
          <w:color w:val="444A52"/>
          <w:sz w:val="18"/>
        </w:rPr>
        <w:t>Le canvas à l'ouverture de GP-13_sujet.gh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Les cotes de la platine, le rayon de congé, le diamètre et le nombre de perçages, l'épaisseur.</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1,8798 dm³, à 0,0001 près.</w:t>
      </w:r>
    </w:p>
    <w:p>
      <w:pPr>
        <w:spacing w:before="0" w:after="80"/>
      </w:pPr>
      <w:r>
        <w:rPr>
          <w:rFonts w:ascii="Calibri" w:hAnsi="Calibri"/>
          <w:b w:val="0"/>
          <w:i/>
          <w:sz w:val="21"/>
        </w:rPr>
        <w:t>Branchez votre résultat sur le paramètre REPONSE. La correction compare cette sortie en mode NumericTolerance, avec une tolérance de 0.0001.</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volume est juste à 0,0001 dm³.</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GP-13 — La pièce qui enchaîne trois opérations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