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IA-13 — Ce qui quitte le poste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REF-140, REF-141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projet est couvert par un accord de confidentialité et l'équipe emploie un assistant en ligne.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collez dans un assistant en ligne un extrait de définition pour le faire corriger. Que faut-il considérer comme transmis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Rien : le code n'est pas une donnée de projet.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 code seul, sans les valeurs qu'il contient.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Tout ce qui est collé, valeurs internalisées, noms de calques et commentaires compris.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Rien tant qu'on ne coche pas une case de partage.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est la représentation la plus répandue et la plus risquée — les cotes, les repères et les noms de projet voyagent avec le code, souvent sans qu'on y pense. Poser la question avant la première utilisation coûte quelques minutes ; la poser après une fuite ne sert plus à rien.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IA-13_complet.gh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41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3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41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IA-13 — Ce qui quitte le poste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