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IA-25 — Ce que le service coûte par mois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IA5 · Vérification, licences et limites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REF-142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le coût d'usage d'un service d'IA à partir de sa consommation réelle, en distinguant ce qui entre de ce qui sort.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Chiffrer le coût d'usage d'un service d'IA à partir de sa consommation réelle, en distinguant ce qui entre de ce qui sort.</w:t>
      </w:r>
    </w:p>
    <w:p>
      <w:pPr>
        <w:spacing w:before="200" w:after="60"/>
      </w:pPr>
      <w:r>
        <w:rPr>
          <w:rFonts w:ascii="Calibri" w:hAnsi="Calibri"/>
          <w:b/>
          <w:color w:val="444A52"/>
          <w:sz w:val="22"/>
        </w:rPr>
        <w:t>Contexte</w:t>
      </w:r>
    </w:p>
    <w:p>
      <w:pPr>
        <w:spacing w:before="0" w:after="80"/>
      </w:pPr>
      <w:r>
        <w:rPr>
          <w:rFonts w:ascii="Calibri" w:hAnsi="Calibri"/>
          <w:b w:val="0"/>
          <w:i w:val="0"/>
          <w:sz w:val="21"/>
        </w:rPr>
        <w:t>Le composant appelle un service distant à chaque recalcul. La facture arrive à la fin du mois, et personne n'a chiffré avant.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service traite 4 200 requêtes par mois. Chacune envoie 1 850 jetons et en reçoit 320. L'entrée est facturée 3 € le million de jetons, la sortie 15 €. Donnez le coût mensuel, en euros.</w:t>
            </w:r>
          </w:p>
        </w:tc>
      </w:tr>
    </w:tbl>
    <w:p>
      <w:pPr>
        <w:spacing w:after="0"/>
      </w:pPr>
    </w:p>
    <w:p>
      <w:pPr>
        <w:spacing w:before="80" w:after="40"/>
        <w:jc w:val="center"/>
      </w:pPr>
      <w:r>
        <w:drawing>
          <wp:inline xmlns:a="http://schemas.openxmlformats.org/drawingml/2006/main" xmlns:pic="http://schemas.openxmlformats.org/drawingml/2006/picture">
            <wp:extent cx="5903999" cy="1924886"/>
            <wp:docPr id="1" name="Picture 1"/>
            <wp:cNvGraphicFramePr>
              <a:graphicFrameLocks noChangeAspect="1"/>
            </wp:cNvGraphicFramePr>
            <a:graphic>
              <a:graphicData uri="http://schemas.openxmlformats.org/drawingml/2006/picture">
                <pic:pic>
                  <pic:nvPicPr>
                    <pic:cNvPr id="0" name="IA-25_canvas_sujet.png"/>
                    <pic:cNvPicPr/>
                  </pic:nvPicPr>
                  <pic:blipFill>
                    <a:blip r:embed="rId10"/>
                    <a:stretch>
                      <a:fillRect/>
                    </a:stretch>
                  </pic:blipFill>
                  <pic:spPr>
                    <a:xfrm>
                      <a:off x="0" y="0"/>
                      <a:ext cx="5903999" cy="1924886"/>
                    </a:xfrm>
                    <a:prstGeom prst="rect"/>
                  </pic:spPr>
                </pic:pic>
              </a:graphicData>
            </a:graphic>
          </wp:inline>
        </w:drawing>
      </w:r>
    </w:p>
    <w:p>
      <w:pPr>
        <w:spacing w:after="160"/>
        <w:jc w:val="center"/>
      </w:pPr>
      <w:r>
        <w:rPr>
          <w:rFonts w:ascii="Calibri" w:hAnsi="Calibri"/>
          <w:i/>
          <w:color w:val="444A52"/>
          <w:sz w:val="18"/>
        </w:rPr>
        <w:t>Le canvas à l'ouverture de IA-25_sujet.gh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nombre de requêtes, les jetons échangés par requête, et les deux tarifs.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43,47 € par mois.</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coût mensuel est juste au centime.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IA-25_complet.gh,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910271"/>
            <wp:docPr id="2" name="Picture 2"/>
            <wp:cNvGraphicFramePr>
              <a:graphicFrameLocks noChangeAspect="1"/>
            </wp:cNvGraphicFramePr>
            <a:graphic>
              <a:graphicData uri="http://schemas.openxmlformats.org/drawingml/2006/picture">
                <pic:pic>
                  <pic:nvPicPr>
                    <pic:cNvPr id="0" name="IA-25_canvas_corrige.png"/>
                    <pic:cNvPicPr/>
                  </pic:nvPicPr>
                  <pic:blipFill>
                    <a:blip r:embed="rId11"/>
                    <a:stretch>
                      <a:fillRect/>
                    </a:stretch>
                  </pic:blipFill>
                  <pic:spPr>
                    <a:xfrm>
                      <a:off x="0" y="0"/>
                      <a:ext cx="5903999" cy="5910271"/>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Chiffrer les jetons d'entrée du mois, et ceux de sortie.</w:t>
      </w:r>
    </w:p>
    <w:p>
      <w:pPr>
        <w:spacing w:after="100"/>
        <w:ind w:left="340"/>
      </w:pPr>
      <w:r>
        <w:rPr>
          <w:rFonts w:ascii="Calibri" w:hAnsi="Calibri"/>
          <w:b/>
          <w:color w:val="2E5C8A"/>
          <w:sz w:val="21"/>
        </w:rPr>
        <w:t xml:space="preserve">Étape 2.  </w:t>
      </w:r>
      <w:r>
        <w:rPr>
          <w:rFonts w:ascii="Calibri" w:hAnsi="Calibri"/>
          <w:sz w:val="21"/>
        </w:rPr>
        <w:t>Appliquer à chacun SON tarif.</w:t>
      </w:r>
    </w:p>
    <w:p>
      <w:pPr>
        <w:spacing w:after="100"/>
        <w:ind w:left="340"/>
      </w:pPr>
      <w:r>
        <w:rPr>
          <w:rFonts w:ascii="Calibri" w:hAnsi="Calibri"/>
          <w:b/>
          <w:color w:val="2E5C8A"/>
          <w:sz w:val="21"/>
        </w:rPr>
        <w:t xml:space="preserve">Étape 3.  </w:t>
      </w:r>
      <w:r>
        <w:rPr>
          <w:rFonts w:ascii="Calibri" w:hAnsi="Calibri"/>
          <w:sz w:val="21"/>
        </w:rPr>
        <w:t>Additionner, et ramener au million de jetons.</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Appliquer le même tarif à l'entrée et à la sortie : 27,34 €. La sortie coûte cinq fois l'entrée, et c'est structurel — elle se produit jeton par jeton. Un service qui répond peu mais lit beaucoup ne coûte pas comme un service qui lit peu et rédige longuement.</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Appliquer un tarif unique.</w:t>
      </w:r>
    </w:p>
    <w:p>
      <w:pPr>
        <w:spacing w:after="60"/>
        <w:ind w:left="340"/>
      </w:pPr>
      <w:r>
        <w:rPr>
          <w:rFonts w:ascii="Calibri" w:hAnsi="Calibri"/>
          <w:sz w:val="21"/>
        </w:rPr>
        <w:t>•  Oublier que les tarifs sont donnés au million.</w:t>
      </w:r>
    </w:p>
    <w:p>
      <w:pPr>
        <w:spacing w:after="60"/>
        <w:ind w:left="340"/>
      </w:pPr>
      <w:r>
        <w:rPr>
          <w:rFonts w:ascii="Calibri" w:hAnsi="Calibri"/>
          <w:sz w:val="21"/>
        </w:rPr>
        <w:t>•  Compter la sortie comme négligeable parce qu'elle est courte.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Multiplication, Addition, Division,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1 850 jetons en entrée pour 320 en sortie est le profil d'un composant qui envoie un contexte et reçoit une réponse courte. Malgré ce rapport de six contre un en volume, la sortie pèse 36 % de la facture : c'est ce renversement que le calcul doit faire apparaître.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coût n'est qu'une des trois limites de la fiche. La latence, elle, se paie à chaque recalcul et se mesure en secondes d'attente ; la reproductibilité ne se paie pas, elle s'établit — ou pas.</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Chiffrer la part de la sortie dans la facture.</w:t>
      </w:r>
    </w:p>
    <w:p>
      <w:pPr>
        <w:spacing w:after="60"/>
        <w:ind w:left="340"/>
      </w:pPr>
      <w:r>
        <w:rPr>
          <w:rFonts w:ascii="Calibri" w:hAnsi="Calibri"/>
          <w:sz w:val="21"/>
        </w:rPr>
        <w:t>•  Reprendre avec une mise en cache qui évite 40 % des requêtes.</w:t>
      </w:r>
    </w:p>
    <w:p>
      <w:pPr>
        <w:spacing w:before="200" w:after="60"/>
      </w:pPr>
      <w:r>
        <w:rPr>
          <w:rFonts w:ascii="Calibri" w:hAnsi="Calibri"/>
          <w:b/>
          <w:color w:val="444A52"/>
          <w:sz w:val="22"/>
        </w:rPr>
        <w:t>Fichiers de cet exercice</w:t>
      </w:r>
    </w:p>
    <w:p>
      <w:pPr>
        <w:spacing w:after="60"/>
        <w:ind w:left="340"/>
      </w:pPr>
      <w:r>
        <w:rPr>
          <w:rFonts w:ascii="Calibri" w:hAnsi="Calibri"/>
          <w:sz w:val="21"/>
        </w:rPr>
        <w:t>•  IA-25_sujet.gh — énoncé et données de départ, sans le corrigé</w:t>
      </w:r>
    </w:p>
    <w:p>
      <w:pPr>
        <w:spacing w:after="60"/>
        <w:ind w:left="340"/>
      </w:pPr>
      <w:r>
        <w:rPr>
          <w:rFonts w:ascii="Calibri" w:hAnsi="Calibri"/>
          <w:sz w:val="21"/>
        </w:rPr>
        <w:t>•  IA-25_complet.gh — énoncé et corrigé, ce dernier commandé par l'interrupteur</w:t>
      </w:r>
    </w:p>
    <w:p>
      <w:pPr>
        <w:spacing w:after="60"/>
        <w:ind w:left="340"/>
      </w:pPr>
      <w:r>
        <w:rPr>
          <w:rFonts w:ascii="Calibri" w:hAnsi="Calibri"/>
          <w:sz w:val="21"/>
        </w:rPr>
        <w:t>•  IA-25.json — descripteur pour le plugin Magpie</w:t>
      </w:r>
    </w:p>
    <w:p>
      <w:pPr>
        <w:spacing w:after="60"/>
        <w:ind w:left="340"/>
      </w:pPr>
      <w:r>
        <w:rPr>
          <w:rFonts w:ascii="Calibri" w:hAnsi="Calibri"/>
          <w:sz w:val="21"/>
        </w:rPr>
        <w:t>•  IA-25_fiche.docx — la présente fiche</w:t>
      </w:r>
    </w:p>
    <w:p>
      <w:pPr>
        <w:spacing w:after="60"/>
        <w:ind w:left="340"/>
      </w:pPr>
      <w:r>
        <w:rPr>
          <w:rFonts w:ascii="Calibri" w:hAnsi="Calibri"/>
          <w:sz w:val="21"/>
        </w:rPr>
        <w:t>•  IA-25_fiche_sujet.docx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IA-25 — Ce que le service coûte par mois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