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IA-33 — Du texte aux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IA6 · Modèles de langage et IA générative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Tirer d'un texte de programme les paramètres qui pilotent une définition, en distinguant ce qui est donné de ce qui se déduit.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Tirer d'un texte de programme les paramètres qui pilotent une définition, en distinguant ce qui est donné de ce qui se déduit.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cahier des charges décrit une verrière en toutes lettres. La définition, elle, a besoin d'une largeur de travée et d'une hauteur vitrée, qu'aucune phrase ne donne directement.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L'extrait décrit une verrière de 3 200 mm de large et 2 450 mm de haut, à 6 travées égales séparées par des montants de 60 mm, avec une imposte de 380 mm en partie haute. Donnez la largeur d'une travée puis la hauteur vitrée,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51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3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1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IA-33_sujet.gh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L'extrait de programme, en toutes lettres.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483,3333 mm de largeur de travée, puis 2 070 mm de hauteur vitrée.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deux valeurs sont justes à 0,0001 mm.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IA-33_complet.gh,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308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3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30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Compter les montants : un de moins que les travées.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Retrancher leur largeur cumulée à la largeur totale.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Diviser par le nombre de travées.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Retrancher l'imposte à la hauteur totale.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la largeur par le nombre de travées : 533,33 mm. Les cinq montants intérieurs occupent 300 mm qu'aucune travée ne reçoit — la verrière posée sur ce chiffre déborde de 300 mm, et l'erreur ne se voit qu'au montage.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autant de montants que de travées.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Diviser avant de retrancher.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Slider, Subtraction, Multiplication, Division, Merge,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travées et cinq montants : c'est l'écart d'une unité qui fait tout le piège, et il est le même que celui des barreaux de garde-corps en B-02. La largeur obtenue n'est pas ronde, ce qui interdit de la deviner.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Les deux paramètres se déduisent du TEXTE. Ils ne disent pas si la verrière est constructible : une travée de 483 mm en simple vitrage tient, en double vitrage sur 2 070 mm de haut elle demande un calcul de raidissement que le texte ignore.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calcul pour sept travées.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le nombre de travées qui donne une largeur ronde.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IA-33_sujet.gh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IA-33_complet.gh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IA-33.json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IA-33_fiche.docx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IA-33_fiche_sujet.docx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IA-33 — Du texte aux paramètres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