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MP-02 — Trouver ce qui coûte le temps de calcul</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MP2 · Organisation et performance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REF-089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Localiser le composant qui coûte le temps de recalcul, plutôt que d'optimiser au hasard.</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MP-01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Localiser le composant qui coûte le temps de recalcul, plutôt que d'optimiser au hasard.</w:t>
      </w:r>
    </w:p>
    <w:p>
      <w:pPr>
        <w:spacing w:before="200" w:after="60"/>
      </w:pPr>
      <w:r>
        <w:rPr>
          <w:rFonts w:ascii="Calibri" w:hAnsi="Calibri"/>
          <w:b/>
          <w:color w:val="444A52"/>
          <w:sz w:val="22"/>
        </w:rPr>
        <w:t>Contexte</w:t>
      </w:r>
    </w:p>
    <w:p>
      <w:pPr>
        <w:spacing w:before="0" w:after="80"/>
      </w:pPr>
      <w:r>
        <w:rPr>
          <w:rFonts w:ascii="Calibri" w:hAnsi="Calibri"/>
          <w:b w:val="0"/>
          <w:i w:val="0"/>
          <w:sz w:val="21"/>
        </w:rPr>
        <w:t>Une définition met plusieurs secondes à se recalculer à chaque mouvement de curseur, et le client attend devant l'écran.</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Les temps de recalcul des 20 composants d'une définition vous sont fournis, en millisecondes. Donnez la part du temps total que représentent les trois composants les plus coûteux, en pourcentage arrondi à l'entier.</w:t>
            </w:r>
          </w:p>
        </w:tc>
      </w:tr>
    </w:tbl>
    <w:p>
      <w:pPr>
        <w:spacing w:after="0"/>
      </w:pPr>
    </w:p>
    <w:p>
      <w:pPr>
        <w:spacing w:before="80" w:after="40"/>
        <w:jc w:val="center"/>
      </w:pPr>
      <w:r>
        <w:drawing>
          <wp:inline xmlns:a="http://schemas.openxmlformats.org/drawingml/2006/main" xmlns:pic="http://schemas.openxmlformats.org/drawingml/2006/picture">
            <wp:extent cx="5903999" cy="1535243"/>
            <wp:docPr id="1" name="Picture 1"/>
            <wp:cNvGraphicFramePr>
              <a:graphicFrameLocks noChangeAspect="1"/>
            </wp:cNvGraphicFramePr>
            <a:graphic>
              <a:graphicData uri="http://schemas.openxmlformats.org/drawingml/2006/picture">
                <pic:pic>
                  <pic:nvPicPr>
                    <pic:cNvPr id="0" name="MP-02_canvas_sujet.png"/>
                    <pic:cNvPicPr/>
                  </pic:nvPicPr>
                  <pic:blipFill>
                    <a:blip r:embed="rId10"/>
                    <a:stretch>
                      <a:fillRect/>
                    </a:stretch>
                  </pic:blipFill>
                  <pic:spPr>
                    <a:xfrm>
                      <a:off x="0" y="0"/>
                      <a:ext cx="5903999" cy="1535243"/>
                    </a:xfrm>
                    <a:prstGeom prst="rect"/>
                  </pic:spPr>
                </pic:pic>
              </a:graphicData>
            </a:graphic>
          </wp:inline>
        </w:drawing>
      </w:r>
    </w:p>
    <w:p>
      <w:pPr>
        <w:spacing w:after="160"/>
        <w:jc w:val="center"/>
      </w:pPr>
      <w:r>
        <w:rPr>
          <w:rFonts w:ascii="Calibri" w:hAnsi="Calibri"/>
          <w:i/>
          <w:color w:val="444A52"/>
          <w:sz w:val="18"/>
        </w:rPr>
        <w:t>Le canvas à l'ouverture de MP-02_sujet.gh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20 temps mesurés, en millisecondes, dans l'ordre du profil affiché par Grasshopper.</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97 — la part des trois composants les plus coûteux, en pourcentage entier.</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part est juste à l'entier près.</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MP-02 — Trouver ce qui coûte le temps de calcul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