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QT-05 — Le fichier que le fournisseur va lire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QT2 · Export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REF-086, REF-087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 fichier d'échange dont la structure est celle qu'attend le destinataire, en-tête comprise, et savoir combien de lignes il doit contenir avant de l'ouvrir.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 fichier d'échange dont la structure est celle qu'attend le destinataire, en-tête comprise, et savoir combien de lignes il doit contenir avant de l'ouvrir.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commande part en CSV vers le fournisseur, qui l'importe automatiquement. Un fichier mal structuré n'est pas rejeté : il est importé de travers.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Vous exportez la commande regroupée de l'exercice précédent au format CSV, avec une ligne d'en-tête nommant les colonnes. Donnez le nombre de lignes que le fichier doit contenir.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débit de vingt-quatre lignes, et la commande regroupée qui en découle.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9 — huit références, plus la ligne d'en-tête.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lignes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QT-05 — Le fichier que le fournisseur va lire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