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Organisation du document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points portent le calque des porteurs, une fois le tri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— le nombre de points sur le calque des porteurs.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Créer les deux calques, « PORTEURS » et « CLOISONS », avant toute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Isoler les porteurs par leur régularité — un réseau de sélection ou une fenêtre suffit — et les déplacer sur leur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qu'il ne reste rien sur le calque d'origine.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Faire pointer la définition sur le calque des porteurs, pas sur une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que le compte tombe à 12.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Sélectionner les porteurs à la main dans la vue plutôt que de les isoler sur un calque. Le compte est juste aujourd'hui, et faux dès que le géomètre livre une mise à jour — ce que l'exercice ne montre qu'à la seconde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Masquer les cloisons au lieu de les déplacer : elles restent sur le calque et la définition les reprend quand même.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calques après coup : le lien de la définition se fait sur le nom, un renommage le casse.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porteurs forment une trame régulière de 5 400 × 6 200 mm, les cloisons sont décalées à mi-portée. La distinction est lisible à l'œil dans la vue, ce qui rend le tri manuel tentant — et c'est justement le piège.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Douze prouve que la SÉPARATION est faite. Que les calques portent des noms utilisables par un tiers, et non « calque 01 » et « calque 02 », ne se vérifie pas par un nombre — c'est pourtant ce qui rend le fichier transmissible.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deux porteurs dans Rhino et vérifier que le compte suit tout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les porteurs par un filtre sur la couleur plutôt que sur le calque, et juger ce qui est le plus robuste.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