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RH-19 — Ce que la mise à l'échelle fait aux détails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RH4 · Préparation à l'impression 3D</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REF-017, REF-018</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Juger la finesse d'un modèle À L'ÉCHELLE OÙ IL SERA IMPRIMÉ, et non à celle où il a été dessiné.</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RH-07</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Juger la finesse d'un modèle à l'échelle où il sera imprimé, et non à celle où il a été dessiné.</w:t>
      </w:r>
    </w:p>
    <w:p>
      <w:pPr>
        <w:spacing w:before="200" w:after="60"/>
      </w:pPr>
      <w:r>
        <w:rPr>
          <w:rFonts w:ascii="Calibri" w:hAnsi="Calibri"/>
          <w:b/>
          <w:color w:val="444A52"/>
          <w:sz w:val="22"/>
        </w:rPr>
        <w:t>Contexte</w:t>
      </w:r>
    </w:p>
    <w:p>
      <w:pPr>
        <w:spacing w:before="0" w:after="80"/>
      </w:pPr>
      <w:r>
        <w:rPr>
          <w:rFonts w:ascii="Calibri" w:hAnsi="Calibri"/>
          <w:b w:val="0"/>
          <w:i w:val="0"/>
          <w:sz w:val="21"/>
        </w:rPr>
        <w:t>La maquette d'étude est dessinée au 1:25 et sera imprimée à l'échelle 1. La machine ne distingue rien sous 0,4 mm.</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Les douze détails les plus fins du modèle vous sont fournis, mesurés sur la maquette. Le modèle sera agrandi 25 fois. Donnez le nombre de détails qui resteront sous la résolution de 0,4 mm APRÈS agrandissement.</w:t>
            </w:r>
          </w:p>
        </w:tc>
      </w:tr>
    </w:tbl>
    <w:p>
      <w:pPr>
        <w:spacing w:after="0"/>
      </w:pPr>
    </w:p>
    <w:p>
      <w:pPr>
        <w:spacing w:before="80" w:after="40"/>
        <w:jc w:val="center"/>
      </w:pPr>
      <w:r>
        <w:drawing>
          <wp:inline xmlns:a="http://schemas.openxmlformats.org/drawingml/2006/main" xmlns:pic="http://schemas.openxmlformats.org/drawingml/2006/picture">
            <wp:extent cx="5903999" cy="2726876"/>
            <wp:docPr id="1" name="Picture 1"/>
            <wp:cNvGraphicFramePr>
              <a:graphicFrameLocks noChangeAspect="1"/>
            </wp:cNvGraphicFramePr>
            <a:graphic>
              <a:graphicData uri="http://schemas.openxmlformats.org/drawingml/2006/picture">
                <pic:pic>
                  <pic:nvPicPr>
                    <pic:cNvPr id="0" name="RH-19_canvas_sujet.png"/>
                    <pic:cNvPicPr/>
                  </pic:nvPicPr>
                  <pic:blipFill>
                    <a:blip r:embed="rId10"/>
                    <a:stretch>
                      <a:fillRect/>
                    </a:stretch>
                  </pic:blipFill>
                  <pic:spPr>
                    <a:xfrm>
                      <a:off x="0" y="0"/>
                      <a:ext cx="5903999" cy="2726876"/>
                    </a:xfrm>
                    <a:prstGeom prst="rect"/>
                  </pic:spPr>
                </pic:pic>
              </a:graphicData>
            </a:graphic>
          </wp:inline>
        </w:drawing>
      </w:r>
    </w:p>
    <w:p>
      <w:pPr>
        <w:spacing w:after="160"/>
        <w:jc w:val="center"/>
      </w:pPr>
      <w:r>
        <w:rPr>
          <w:rFonts w:ascii="Calibri" w:hAnsi="Calibri"/>
          <w:i/>
          <w:color w:val="444A52"/>
          <w:sz w:val="18"/>
        </w:rPr>
        <w:t>Le canvas à l'ouverture de RH-19_sujet.gh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douze dimensions relevées sur la maquette, le facteur d'agrandissement et la résolution de la machine.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6 détails restent sous la résolution après agrandissement.</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compte après agrandissement est juste.</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RH-19 — Ce que la mise à l'échelle fait aux détails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