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RH-20 — Un maillage est-il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par le calcul qu'un maillage est ouvert, et de combien, sans se fier à son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par le calcul qu'un maillage est ouvert, et de combien, sans se fier à son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part à l'impression. À l'écran, il paraît parfaitement fermé — c'est toujours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2 960 faces triangulaires et 4 434 arêtes. Donnez le nombre d'arêtes nues.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triangulaires et le nombre d'arêtes.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arêtes nues.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d'arêtes nues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820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8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les arêtes qu'exigent les faces : trois par triangle.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celles qu'offrent les arêtes réelles : deux usages chacune si elles sont intérieures.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différence est le nombre d'arêtes nues.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Conclure que le maillage est fermé parce que rien ne se voit. Un maillage fermé de 2 960 triangles aurait exactement 4 440 arêtes : chaque arête y est partagée par deux faces. Il en manque six, donc douze arêtes ne sont bordées que d'une seule face — et la pièce sortira de la machine avec un trou.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fier à l'aperçu.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arêtes nues et faces manquantes.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raisonnement tient en une ligne : trois arêtes par triangle, deux triangles par arête intérieure, donc 3F − 2E arêtes nues. Douze arêtes nues sur 4 434, c'est 0,3 % — invisible à l'œil, rédhibitoire à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dit qu'il y a des trous, pas où ils sont. Les localiser demande les outils d'analyse, que RH-21 aborde.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Retrouver le nombre d'arêtes d'un maillage fermé de même nombre de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pour un maillage quadrangulaire.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RH-20 — Un maillage est-il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