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RH-22 — La finesse du maillage à l'export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RH4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Régler la finesse d'un maillage d'export à partir de l'écart admissible à la surface, et non au jugé.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Régler la finesse d'un maillage d'export à partir de l'écart admissible à la surface, et non au jugé.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cylindre part en fabrication. Le maillage d'export remplace le cercle par un polygone : la question est de savoir de combien il s'en écarte.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cylindre a 30 mm de rayon. L'écart entre le maillage et la surface réelle ne doit pas dépasser 0,05 mm. Donnez le nombre minimal de facettes sur un demi-tour.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661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661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RH-22_sujet.gh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rayon du cylindre et l'écart maximal admis.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55 facettes sur un demi-tour.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facettes est juste et arrondi au supérieur.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RH-22 — La finesse du maillage à l'export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