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RH-24 — Les parois trop minces après mise à l'échelle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REF-017,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un relevé d'épaisseurs à la contrainte machine APRÈS mise à l'échelle, et non avant.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un relevé d'épaisseurs à la contrainte machine APRÈS mise à l'échelle, et non avant.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maquette se réduit pour tenir dans le volume d'impression. Les parois se réduisent avec elle, et celles qui passaient au 1/1 ne passent plus.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donne dix-huit épaisseurs de paroi, en centièmes de millimètre. La pièce sera imprimée à 62 % de sa taille, et la machine ne tient pas sous 1,20 mm. Donnez le nombre de parois qui ne passeront pas.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19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9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dix-huit épaisseurs relevées, le facteur d'échelle et le minimum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parois passent sous le minimum après réduction.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RH-24 — Les parois trop minces après mise à l'échelle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