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RH-26 — Le poids du fichier à envoyer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RH4 · Préparation à l'impression 3D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REF-022, REF-023, REF-024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Prévoir le poids d'un export maillé à partir du nombre de triangles et du format retenu.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12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RH-22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5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Prévoir le poids d'un export maillé à partir du nombre de triangles et du format retenu.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STL s'envoie à un prestataire. Savoir avant l'export s'il fera sept mégaoctets ou trente-cinq décide du format et du moyen de transmission.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maillage compte 148 520 triangles. Un STL binaire pèse 84 octets d'en-tête plus 50 octets par triangle. Donnez le poids du fichier, en octets.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4870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H-26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4870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RH-26_sujet.gh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nombre de triangles du maillage et la structure du format.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7 426 084 octets, soit 7,08 Mo.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poids est exact à l'octet.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RH-26_complet.gh,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64518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H-26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645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Multiplier le nombre de triangles par cinquante.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Ajouter les quatre-vingt-quatre octets d'en-tête.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Exporter en STL ASCII sans y penser : environ 35 Mo pour le même maillage, cinq fois plus lourd, pour une géométrie strictement identique. Le format par défaut de la boîte de dialogue n'est pas toujours le binaire.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Oublier l'en-tête.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Confondre octets et bits, ou mégaoctets et mébioctets.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Slider, Multiplication, Addition,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148 520 triangles est un maillage de pièce courante, ni trivial ni monstrueux. La structure du binaire est FIXE — 84 + 50 n —, ce qui rend le calcul exact et vérifiable à l'octet près, là où l'ASCII ne peut s'estimer.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La formule vaut pour le STL BINAIRE, dont chaque triangle occupe exactement cinquante octets. L'OBJ, le 3MF et le PLY ont des structures différentes, et le 3MF est compressé : son poids dépend de la géométrie elle-même.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Donner le nombre de triangles tenant dans une pièce jointe de 10 Mo.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Comparer au poids du même maillage en 3MF.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RH-26_sujet.gh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RH-26_complet.gh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RH-26.json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RH-26_fiche.docx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RH-26_fiche_sujet.docx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RH-26 — Le poids du fichier à envoyer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