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RH-26 — Le poids du fichier à envoyer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REF-023, 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export maillé à partir du nombre de triangles et du format retenu.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export maillé à partir du nombre de triangles et du format retenu.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STL s'envoie à un prestataire. Savoir avant l'export s'il fera sept mégaoctets ou trente-cinq décide du format et du moyen de transmission.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148 520 triangles. Un STL binaire pèse 84 octets d'en-tête plus 50 octets par triangle.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triangles du maillage et la structure du format.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7 426 084 octets, soit 7,08 Mo.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est exact à l'octet.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RH-26 — Le poids du fichier à envoyer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