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A-28 — Découper et remplacer du texte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A6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un fragment d'une référence structurée et le normaliser.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un fragment d'une référence structurée et le normaliser.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références fournisseur encodent la famille, le code produit et l'essence ; seul le code produit alimente la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références vous sont fournies au format « MEUB-A12-CHENE ». Extrayez le seul code central et livrez-le en minuscules.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6 références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codes en minuscules : a12, b07, …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6 codes sont exacts.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A-28_complet.gh,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854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8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Text Split avec le séparateur - (tiret).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La sortie est un arbre : chaque référence donne une branche de 3 fragments.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List Item avec l'index 1 pour prendre le fragment central de chaque branche.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Text Case en mode Lower.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Découper par position de caractère plutôt que par séparateur : le montage tient tant que la famille fait quatre lettres, et se rompt à la première référence au format différent.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Text Split produit un arbre et non une liste plate.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Espaces parasites : appliquer Trim avant le découpage.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 Split, Replace Text, Text Case, Trim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Même limite qu'en A-27 : le livrable est une liste de codes en minuscules, que le checker ne sait pas comparer. Validation visuelle.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le matériau par un autre avec Replace Text.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Reconstituer la référence complète après modification.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A-28 — Découper et remplacer du texte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