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A-41 — Extrusion et surface réglée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A10 · Surfaces et solides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Passer d'une courbe à une surface par extrusion et par transition entre profils.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0,5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Passer d'une courbe à une surface par extrusion et par transition entre profils.</w:t>
      </w:r>
    </w:p>
    <w:p>
      <w:pPr>
        <w:spacing w:before="200" w:after="60"/>
      </w:pPr>
      <w:r>
        <w:rPr>
          <w:rFonts w:ascii="Calibri" w:hAnsi="Calibri"/>
          <w:b/>
          <w:color w:val="444A52"/>
          <w:sz w:val="22"/>
        </w:rPr>
        <w:t>Contexte</w:t>
      </w:r>
    </w:p>
    <w:p>
      <w:pPr>
        <w:spacing w:before="0" w:after="80"/>
      </w:pPr>
      <w:r>
        <w:rPr>
          <w:rFonts w:ascii="Calibri" w:hAnsi="Calibri"/>
          <w:b w:val="0"/>
          <w:i w:val="0"/>
          <w:sz w:val="21"/>
        </w:rPr>
        <w:t>Une trémie relie deux sections différentes ; un conduit droit relie deux sections identiques.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Deux profils fermés superposés vous sont fournis. Produisez la surface de transition qui les relie, puis, séparément, la surface obtenue en poussant le profil du bas de 200 mm vers le haut. Comparez les deux.</w:t>
            </w:r>
          </w:p>
        </w:tc>
      </w:tr>
    </w:tbl>
    <w:p>
      <w:pPr>
        <w:spacing w:after="0"/>
      </w:pPr>
    </w:p>
    <w:p>
      <w:pPr>
        <w:spacing w:before="80" w:after="40"/>
        <w:jc w:val="center"/>
      </w:pPr>
      <w:r>
        <w:drawing>
          <wp:inline xmlns:a="http://schemas.openxmlformats.org/drawingml/2006/main" xmlns:pic="http://schemas.openxmlformats.org/drawingml/2006/picture">
            <wp:extent cx="5903999" cy="2028381"/>
            <wp:docPr id="1" name="Picture 1"/>
            <wp:cNvGraphicFramePr>
              <a:graphicFrameLocks noChangeAspect="1"/>
            </wp:cNvGraphicFramePr>
            <a:graphic>
              <a:graphicData uri="http://schemas.openxmlformats.org/drawingml/2006/picture">
                <pic:pic>
                  <pic:nvPicPr>
                    <pic:cNvPr id="0" name="A-41_canvas_sujet.png"/>
                    <pic:cNvPicPr/>
                  </pic:nvPicPr>
                  <pic:blipFill>
                    <a:blip r:embed="rId10"/>
                    <a:stretch>
                      <a:fillRect/>
                    </a:stretch>
                  </pic:blipFill>
                  <pic:spPr>
                    <a:xfrm>
                      <a:off x="0" y="0"/>
                      <a:ext cx="5903999" cy="2028381"/>
                    </a:xfrm>
                    <a:prstGeom prst="rect"/>
                  </pic:spPr>
                </pic:pic>
              </a:graphicData>
            </a:graphic>
          </wp:inline>
        </w:drawing>
      </w:r>
    </w:p>
    <w:p>
      <w:pPr>
        <w:spacing w:after="160"/>
        <w:jc w:val="center"/>
      </w:pPr>
      <w:r>
        <w:rPr>
          <w:rFonts w:ascii="Calibri" w:hAnsi="Calibri"/>
          <w:i/>
          <w:color w:val="444A52"/>
          <w:sz w:val="18"/>
        </w:rPr>
        <w:t>Le canvas à l'ouverture de A-41_sujet.gh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Deux profils fermés internalisés à 0 et 300 mm.</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Une surface de transition et une surface d'extrusion.</w:t>
      </w:r>
    </w:p>
    <w:p>
      <w:pPr>
        <w:spacing w:before="0" w:after="80"/>
      </w:pPr>
      <w:r>
        <w:rPr>
          <w:rFonts w:ascii="Calibri" w:hAnsi="Calibri"/>
          <w:b w:val="0"/>
          <w:i/>
          <w:sz w:val="21"/>
        </w:rPr>
        <w:t>Branchez votre résultat sur le paramètre REPONSE. La correction compare cette sortie en mode GeometryTolerance, avec une tolérance de 0,5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surface correcte.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A-41 — Extrusion et surface réglée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