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GP-04 — SubD ou NURBS ?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REF-077, REF-078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poignée de meuble doit être dessinée en forme libre, puis usinée.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devez dessiner une poignée de forme libre, qui sera ensuite usinée à partir d'un modèle exact. Par quoi commencez-vous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Directement en NURBS, puisque c'est ce qu'il faut à la fin.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maillage, plus simple à déformer.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Peu importe, les trois sont équivalents.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En SubD pour la recherche de forme, converti en NURBS pour l'usinage.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le réflexe de qui connaît la contrainte de sortie et pas les outils de forme — on y passe un temps considérable à recaler des points de contrôle. (b) donne une forme facile à modeler et impossible à usiner proprement. La bonne réponse tient à ce que SubD et NURBS ne s'opposent pas : l'un sert la conception, l'autre la fabrication, et la conversion est prévue pour.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GP-04_complet.gh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4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GP-04 — SubD ou NURBS ?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