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tronçons dépassent la longueur de transport.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