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IA-11 — Un cahier des charges qui devient des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REF-133, REF-134, REF-135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d'un texte de prescription les valeurs exploitables par une définition, et les contrôler.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d'un texte de prescription les valeurs exploitables par une définition, et les contrôler.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article de CCTP décrit un garde-corps en toutes lettres ; la définition attend des nombres.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L'article de CCTP vous est fourni. Faites-en extraire les valeurs dimensionnelles par un modèle de langage, puis donnez le nombre de montants nécessaires pour la longueur prescrite.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0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0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texte de l'article, internalisé dans la définition, et l'accès à un modèle de langage.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montants, entracte maximal respecté.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montants est juste et si chaque valeur extraite est justifiée par sa phrase source.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IA-11 — Un cahier des charges qui devient des paramètres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